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865.0" w:type="dxa"/>
        <w:jc w:val="left"/>
        <w:tblInd w:w="10.0" w:type="dxa"/>
        <w:tblLayout w:type="fixed"/>
        <w:tblLook w:val="0600"/>
      </w:tblPr>
      <w:tblGrid>
        <w:gridCol w:w="4596"/>
        <w:gridCol w:w="1919"/>
        <w:gridCol w:w="3350"/>
        <w:tblGridChange w:id="0">
          <w:tblGrid>
            <w:gridCol w:w="4596"/>
            <w:gridCol w:w="1919"/>
            <w:gridCol w:w="3350"/>
          </w:tblGrid>
        </w:tblGridChange>
      </w:tblGrid>
      <w:tr>
        <w:trPr>
          <w:cantSplit w:val="0"/>
          <w:trHeight w:val="660" w:hRule="atLeast"/>
          <w:tblHeader w:val="0"/>
        </w:trPr>
        <w:tc>
          <w:tcPr>
            <w:tcBorders>
              <w:top w:color="ffffff" w:space="0" w:sz="8" w:val="single"/>
              <w:left w:color="ffffff" w:space="0" w:sz="8" w:val="single"/>
              <w:bottom w:color="ffffff" w:space="0" w:sz="8" w:val="single"/>
              <w:right w:color="ffffff" w:space="0" w:sz="8" w:val="single"/>
            </w:tcBorders>
            <w:shd w:fill="auto" w:val="clear"/>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123825</wp:posOffset>
                  </wp:positionH>
                  <wp:positionV relativeFrom="paragraph">
                    <wp:posOffset>-60959</wp:posOffset>
                  </wp:positionV>
                  <wp:extent cx="1128395" cy="391795"/>
                  <wp:effectExtent b="0" l="0" r="0" t="0"/>
                  <wp:wrapNone/>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128395" cy="391795"/>
                          </a:xfrm>
                          <a:prstGeom prst="rect"/>
                          <a:ln/>
                        </pic:spPr>
                      </pic:pic>
                    </a:graphicData>
                  </a:graphic>
                </wp:anchor>
              </w:drawing>
            </w:r>
          </w:p>
        </w:tc>
        <w:tc>
          <w:tcPr>
            <w:tcBorders>
              <w:top w:color="ffffff" w:space="0" w:sz="8" w:val="single"/>
              <w:left w:color="ffffff" w:space="0" w:sz="8" w:val="single"/>
              <w:bottom w:color="ffffff" w:space="0" w:sz="8" w:val="single"/>
              <w:right w:color="ffffff" w:space="0" w:sz="8" w:val="single"/>
            </w:tcBorders>
            <w:shd w:fill="auto" w:val="clear"/>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14"/>
                <w:szCs w:val="14"/>
                <w:u w:val="none"/>
                <w:shd w:fill="auto" w:val="clear"/>
                <w:vertAlign w:val="baseline"/>
                <w:rtl w:val="0"/>
              </w:rPr>
              <w:t xml:space="preserve">АФ у формі ТОВ “Азимут”</w:t>
            </w: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14"/>
                <w:szCs w:val="14"/>
                <w:u w:val="none"/>
                <w:shd w:fill="auto" w:val="clear"/>
                <w:vertAlign w:val="baseline"/>
                <w:rtl w:val="0"/>
              </w:rPr>
              <w:t xml:space="preserve">Номер у Реєстрі САД 0376</w:t>
            </w: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14"/>
                <w:szCs w:val="14"/>
                <w:u w:val="none"/>
                <w:shd w:fill="auto" w:val="clear"/>
                <w:vertAlign w:val="baseline"/>
                <w:rtl w:val="0"/>
              </w:rPr>
              <w:t xml:space="preserve">Код ЄДРПОУ 22675684</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iCs w:val="0"/>
                <w:smallCaps w:val="0"/>
                <w:strike w:val="0"/>
                <w:color w:val="000000"/>
                <w:sz w:val="14"/>
                <w:szCs w:val="1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14"/>
                <w:szCs w:val="14"/>
                <w:u w:val="none"/>
                <w:shd w:fill="auto" w:val="clear"/>
                <w:vertAlign w:val="baseline"/>
                <w:rtl w:val="0"/>
              </w:rPr>
              <w:t xml:space="preserve">вул. Вартових Неба, 42А, м. Харків, 61072, Україна</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0" w:firstLine="0"/>
              <w:jc w:val="left"/>
              <w:rPr>
                <w:rFonts w:ascii="Times New Roman" w:cs="Times New Roman" w:eastAsia="Times New Roman" w:hAnsi="Times New Roman"/>
                <w:i w:val="0"/>
                <w:iCs w:val="0"/>
                <w:smallCaps w:val="0"/>
                <w:strike w:val="0"/>
                <w:color w:val="000000"/>
                <w:sz w:val="14"/>
                <w:szCs w:val="1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14"/>
                <w:szCs w:val="14"/>
                <w:u w:val="none"/>
                <w:shd w:fill="auto" w:val="clear"/>
                <w:vertAlign w:val="baseline"/>
                <w:rtl w:val="0"/>
              </w:rPr>
              <w:t xml:space="preserve">Тел.: +380 (50) 275-51-48</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0" w:firstLine="0"/>
              <w:jc w:val="left"/>
              <w:rPr>
                <w:rFonts w:ascii="Times New Roman" w:cs="Times New Roman" w:eastAsia="Times New Roman" w:hAnsi="Times New Roman"/>
                <w:i w:val="0"/>
                <w:iCs w:val="0"/>
                <w:smallCaps w:val="0"/>
                <w:strike w:val="0"/>
                <w:color w:val="000000"/>
                <w:sz w:val="14"/>
                <w:szCs w:val="1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14"/>
                <w:szCs w:val="14"/>
                <w:u w:val="none"/>
                <w:shd w:fill="auto" w:val="clear"/>
                <w:vertAlign w:val="baseline"/>
                <w:rtl w:val="0"/>
              </w:rPr>
              <w:t xml:space="preserve">Email: azimut.audit@gmail.com</w:t>
            </w:r>
          </w:p>
        </w:tc>
      </w:tr>
    </w:tbl>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iCs w:val="0"/>
          <w:smallCaps w:val="0"/>
          <w:strike w:val="0"/>
          <w:color w:val="000000"/>
          <w:sz w:val="2"/>
          <w:szCs w:val="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iCs w:val="0"/>
          <w:smallCaps w:val="0"/>
          <w:strike w:val="0"/>
          <w:color w:val="000000"/>
          <w:sz w:val="2"/>
          <w:szCs w:val="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iCs w:val="0"/>
          <w:smallCaps w:val="0"/>
          <w:strike w:val="0"/>
          <w:color w:val="000000"/>
          <w:sz w:val="2"/>
          <w:szCs w:val="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iCs w:val="0"/>
          <w:smallCaps w:val="0"/>
          <w:strike w:val="0"/>
          <w:color w:val="000000"/>
          <w:sz w:val="2"/>
          <w:szCs w:val="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iCs w:val="0"/>
          <w:smallCaps w:val="0"/>
          <w:strike w:val="0"/>
          <w:color w:val="000000"/>
          <w:sz w:val="2"/>
          <w:szCs w:val="2"/>
          <w:u w:val="non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40005</wp:posOffset>
            </wp:positionH>
            <wp:positionV relativeFrom="paragraph">
              <wp:posOffset>2540</wp:posOffset>
            </wp:positionV>
            <wp:extent cx="6275705" cy="200025"/>
            <wp:effectExtent b="0" l="0" r="0" t="0"/>
            <wp:wrapNone/>
            <wp:docPr id="3" name="image2.png"/>
            <a:graphic>
              <a:graphicData uri="http://schemas.openxmlformats.org/drawingml/2006/picture">
                <pic:pic>
                  <pic:nvPicPr>
                    <pic:cNvPr id="0" name="image2.png"/>
                    <pic:cNvPicPr preferRelativeResize="0"/>
                  </pic:nvPicPr>
                  <pic:blipFill>
                    <a:blip r:embed="rId8"/>
                    <a:srcRect b="33938" l="1812" r="3555" t="60002"/>
                    <a:stretch>
                      <a:fillRect/>
                    </a:stretch>
                  </pic:blipFill>
                  <pic:spPr>
                    <a:xfrm>
                      <a:off x="0" y="0"/>
                      <a:ext cx="6275705" cy="200025"/>
                    </a:xfrm>
                    <a:prstGeom prst="rect"/>
                    <a:ln/>
                  </pic:spPr>
                </pic:pic>
              </a:graphicData>
            </a:graphic>
          </wp:anchor>
        </w:drawing>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iCs w:val="0"/>
          <w:smallCaps w:val="0"/>
          <w:strike w:val="0"/>
          <w:color w:val="000000"/>
          <w:sz w:val="2"/>
          <w:szCs w:val="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iCs w:val="0"/>
          <w:smallCaps w:val="0"/>
          <w:strike w:val="0"/>
          <w:color w:val="000000"/>
          <w:sz w:val="2"/>
          <w:szCs w:val="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iCs w:val="0"/>
          <w:smallCaps w:val="0"/>
          <w:strike w:val="0"/>
          <w:color w:val="000000"/>
          <w:sz w:val="2"/>
          <w:szCs w:val="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i w:val="0"/>
          <w:iCs w:val="0"/>
          <w:smallCaps w:val="0"/>
          <w:strike w:val="0"/>
          <w:color w:val="000000"/>
          <w:sz w:val="2"/>
          <w:szCs w:val="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57" w:before="57" w:line="240" w:lineRule="auto"/>
        <w:ind w:left="57" w:right="0" w:firstLine="567"/>
        <w:jc w:val="center"/>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3">
      <w:pPr>
        <w:spacing w:line="240" w:lineRule="auto"/>
        <w:ind w:left="57" w:firstLine="567"/>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ЗВІТ НЕЗАЛЕЖНОГО АУДИТОРА</w:t>
      </w:r>
    </w:p>
    <w:p w:rsidR="00000000" w:rsidDel="00000000" w:rsidP="00000000" w:rsidRDefault="00000000" w:rsidRPr="00000000" w14:paraId="00000014">
      <w:pPr>
        <w:spacing w:line="240" w:lineRule="auto"/>
        <w:ind w:left="57" w:firstLine="567"/>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щодо фінансової звітності </w:t>
      </w:r>
    </w:p>
    <w:p w:rsidR="00000000" w:rsidDel="00000000" w:rsidP="00000000" w:rsidRDefault="00000000" w:rsidRPr="00000000" w14:paraId="00000015">
      <w:pPr>
        <w:spacing w:line="240" w:lineRule="auto"/>
        <w:ind w:left="57" w:firstLine="567"/>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ПУБЛІЧНОГО АКЦІОНЕРНОГО ТОВАРИСТВА “МОНФАРМ”</w:t>
      </w:r>
      <w:r w:rsidDel="00000000" w:rsidR="00000000" w:rsidRPr="00000000">
        <w:rPr>
          <w:rtl w:val="0"/>
        </w:rPr>
      </w:r>
    </w:p>
    <w:p w:rsidR="00000000" w:rsidDel="00000000" w:rsidP="00000000" w:rsidRDefault="00000000" w:rsidRPr="00000000" w14:paraId="00000016">
      <w:pPr>
        <w:spacing w:line="240" w:lineRule="auto"/>
        <w:ind w:left="57" w:firstLine="567"/>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17">
      <w:pPr>
        <w:spacing w:line="240" w:lineRule="auto"/>
        <w:ind w:left="57" w:firstLine="567"/>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18">
      <w:pPr>
        <w:spacing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Акціонерам і Наглядовій раді ПУБЛІЧНОГО АКЦІОНЕРНОГО ТОВАРИСТВА  “МОНФАРМ”</w:t>
      </w:r>
    </w:p>
    <w:p w:rsidR="00000000" w:rsidDel="00000000" w:rsidP="00000000" w:rsidRDefault="00000000" w:rsidRPr="00000000" w14:paraId="00000019">
      <w:pPr>
        <w:spacing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Національній комісії з цінних паперів та фондового ринку</w:t>
      </w:r>
    </w:p>
    <w:p w:rsidR="00000000" w:rsidDel="00000000" w:rsidP="00000000" w:rsidRDefault="00000000" w:rsidRPr="00000000" w14:paraId="0000001A">
      <w:pPr>
        <w:spacing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12"/>
          <w:szCs w:val="12"/>
          <w:rtl w:val="0"/>
        </w:rPr>
        <w:t xml:space="preserve"> </w:t>
      </w:r>
      <w:r w:rsidDel="00000000" w:rsidR="00000000" w:rsidRPr="00000000">
        <w:rPr>
          <w:rtl w:val="0"/>
        </w:rPr>
      </w:r>
    </w:p>
    <w:p w:rsidR="00000000" w:rsidDel="00000000" w:rsidP="00000000" w:rsidRDefault="00000000" w:rsidRPr="00000000" w14:paraId="0000001B">
      <w:pPr>
        <w:spacing w:line="276"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Звіт щодо аудиту фінансової звітності </w:t>
      </w:r>
    </w:p>
    <w:p w:rsidR="00000000" w:rsidDel="00000000" w:rsidP="00000000" w:rsidRDefault="00000000" w:rsidRPr="00000000" w14:paraId="0000001C">
      <w:pPr>
        <w:spacing w:after="57" w:before="57" w:line="276" w:lineRule="auto"/>
        <w:ind w:firstLine="567"/>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Думка із застереженням</w:t>
      </w:r>
    </w:p>
    <w:p w:rsidR="00000000" w:rsidDel="00000000" w:rsidP="00000000" w:rsidRDefault="00000000" w:rsidRPr="00000000" w14:paraId="0000001D">
      <w:pPr>
        <w:spacing w:after="57" w:before="57" w:line="295"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Ми провели аудит фінансової звітності ПУБЛІЧНОГО АКЦІОНЕРНОГО ТОВАРИСТВА  “МОНФАРМ” (“Компанія”) за рік, що закінчився 31 грудня 2025 року, складеної на основі таксономії фінансової звітності за міжнародними стандартами в єдиному електронному форматі, визначеному центральним органом виконавчої влади, що забезпечує формування та реалізує державну політику у сфері бухгалтерського обліку та аудиту, що включає:</w:t>
      </w:r>
    </w:p>
    <w:p w:rsidR="00000000" w:rsidDel="00000000" w:rsidP="00000000" w:rsidRDefault="00000000" w:rsidRPr="00000000" w14:paraId="0000001E">
      <w:pPr>
        <w:numPr>
          <w:ilvl w:val="0"/>
          <w:numId w:val="1"/>
        </w:numPr>
        <w:spacing w:after="0" w:afterAutospacing="0" w:before="57" w:line="295"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[210000] Звіт про фінансовий стан, поточні/ непоточні;</w:t>
      </w:r>
    </w:p>
    <w:p w:rsidR="00000000" w:rsidDel="00000000" w:rsidP="00000000" w:rsidRDefault="00000000" w:rsidRPr="00000000" w14:paraId="0000001F">
      <w:pPr>
        <w:numPr>
          <w:ilvl w:val="0"/>
          <w:numId w:val="1"/>
        </w:numPr>
        <w:spacing w:after="0" w:afterAutospacing="0" w:before="0" w:beforeAutospacing="0" w:line="295"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[310000] Звіт про сукупний дохід, прибуток або збиток, за функцією витрат;</w:t>
      </w:r>
    </w:p>
    <w:p w:rsidR="00000000" w:rsidDel="00000000" w:rsidP="00000000" w:rsidRDefault="00000000" w:rsidRPr="00000000" w14:paraId="00000020">
      <w:pPr>
        <w:numPr>
          <w:ilvl w:val="0"/>
          <w:numId w:val="1"/>
        </w:numPr>
        <w:spacing w:after="0" w:afterAutospacing="0" w:before="0" w:beforeAutospacing="0" w:line="295"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[410000] Звіт про сукупний дохід, компоненти іншого сукупного доходу, відображені після оподаткування;</w:t>
      </w:r>
    </w:p>
    <w:p w:rsidR="00000000" w:rsidDel="00000000" w:rsidP="00000000" w:rsidRDefault="00000000" w:rsidRPr="00000000" w14:paraId="00000021">
      <w:pPr>
        <w:numPr>
          <w:ilvl w:val="0"/>
          <w:numId w:val="1"/>
        </w:numPr>
        <w:spacing w:after="0" w:afterAutospacing="0" w:before="0" w:beforeAutospacing="0" w:line="295"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[510000] Звіт про рух грошових коштів, прямий метод;</w:t>
      </w:r>
    </w:p>
    <w:p w:rsidR="00000000" w:rsidDel="00000000" w:rsidP="00000000" w:rsidRDefault="00000000" w:rsidRPr="00000000" w14:paraId="00000022">
      <w:pPr>
        <w:numPr>
          <w:ilvl w:val="0"/>
          <w:numId w:val="1"/>
        </w:numPr>
        <w:spacing w:after="0" w:afterAutospacing="0" w:before="0" w:beforeAutospacing="0" w:line="295"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[610000] Звіт про зміни у власному капіталі;</w:t>
      </w:r>
    </w:p>
    <w:p w:rsidR="00000000" w:rsidDel="00000000" w:rsidP="00000000" w:rsidRDefault="00000000" w:rsidRPr="00000000" w14:paraId="00000023">
      <w:pPr>
        <w:numPr>
          <w:ilvl w:val="0"/>
          <w:numId w:val="1"/>
        </w:numPr>
        <w:spacing w:after="57" w:before="0" w:beforeAutospacing="0" w:line="295"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[800100 - 880000] Примітки до фінансової звітності, включаючи стислий виклад значущих облікових політик.</w:t>
      </w:r>
    </w:p>
    <w:p w:rsidR="00000000" w:rsidDel="00000000" w:rsidP="00000000" w:rsidRDefault="00000000" w:rsidRPr="00000000" w14:paraId="00000024">
      <w:pPr>
        <w:spacing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 нашу думку, за винятком можливого впливу питання, описаного в розділі “Основа для думки із застереженням” нашого звіту, фінансова звітність, що додається, відображає достовірно, в усіх суттєвих аспектах фінансовий стан Компанії на 31 грудня 2025 р., та її фінансові результати і грошові потоки за рік, що закінчився зазначеною датою, відповідно до Міжнародних стандартів фінансової звітності (“МСФЗ”) та вимог Закону України “Про бухгалтерський облік та фінансову звітність в Україні” від 16.07.1999 № 996-XIV (“Закон </w:t>
      </w:r>
      <w:r w:rsidDel="00000000" w:rsidR="00000000" w:rsidRPr="00000000">
        <w:rPr>
          <w:rFonts w:ascii="Times New Roman" w:cs="Times New Roman" w:eastAsia="Times New Roman" w:hAnsi="Times New Roman"/>
          <w:color w:val="00000a"/>
          <w:rtl w:val="0"/>
        </w:rPr>
        <w:t xml:space="preserve">про бухгалтерський облік та фінансову звітність”</w:t>
      </w:r>
      <w:r w:rsidDel="00000000" w:rsidR="00000000" w:rsidRPr="00000000">
        <w:rPr>
          <w:rFonts w:ascii="Times New Roman" w:cs="Times New Roman" w:eastAsia="Times New Roman" w:hAnsi="Times New Roman"/>
          <w:rtl w:val="0"/>
        </w:rPr>
        <w:t xml:space="preserve">) щодо складання фінансової звітності.</w:t>
      </w:r>
    </w:p>
    <w:p w:rsidR="00000000" w:rsidDel="00000000" w:rsidP="00000000" w:rsidRDefault="00000000" w:rsidRPr="00000000" w14:paraId="00000025">
      <w:pPr>
        <w:spacing w:line="276" w:lineRule="auto"/>
        <w:ind w:firstLine="567"/>
        <w:jc w:val="both"/>
        <w:rPr>
          <w:rFonts w:ascii="Times New Roman" w:cs="Times New Roman" w:eastAsia="Times New Roman" w:hAnsi="Times New Roman"/>
          <w:b w:val="1"/>
          <w:bCs w:val="1"/>
          <w:sz w:val="16"/>
          <w:szCs w:val="16"/>
        </w:rPr>
      </w:pPr>
      <w:r w:rsidDel="00000000" w:rsidR="00000000" w:rsidRPr="00000000">
        <w:rPr>
          <w:rtl w:val="0"/>
        </w:rPr>
      </w:r>
    </w:p>
    <w:p w:rsidR="00000000" w:rsidDel="00000000" w:rsidP="00000000" w:rsidRDefault="00000000" w:rsidRPr="00000000" w14:paraId="00000026">
      <w:pPr>
        <w:spacing w:line="276" w:lineRule="auto"/>
        <w:ind w:firstLine="567"/>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Основа для думки із застереженням</w:t>
      </w:r>
    </w:p>
    <w:p w:rsidR="00000000" w:rsidDel="00000000" w:rsidP="00000000" w:rsidRDefault="00000000" w:rsidRPr="00000000" w14:paraId="00000027">
      <w:pPr>
        <w:spacing w:after="62" w:before="62"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Відповідно до МСБО 16 “Основні засоби” суб’єкт господарювання у разі обрання моделі переоцінки для обліку основних засобів має проводити переоцінку з достатньою регулярністю, так, щоб балансова вартість суттєво не відрізнялася від справедливої вартості. Компанія обрала модель переоцінки для обліку основних засобів. </w:t>
      </w:r>
    </w:p>
    <w:p w:rsidR="00000000" w:rsidDel="00000000" w:rsidP="00000000" w:rsidRDefault="00000000" w:rsidRPr="00000000" w14:paraId="00000028">
      <w:pPr>
        <w:widowControl w:val="1"/>
        <w:spacing w:after="0" w:before="0" w:line="276" w:lineRule="auto"/>
        <w:ind w:left="0" w:right="0"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shd w:fill="auto" w:val="clear"/>
          <w:vertAlign w:val="baseline"/>
          <w:rtl w:val="0"/>
        </w:rPr>
        <w:t xml:space="preserve">Внаслідок відсутності актуальної незалежної оцінки поточної справедливої вартості основних засобів ми не мали змоги отримати достатні та незалежні аудиторські докази щодо справедливої вартості основних засобів, яка відображена у фінансовій звітності на 01.01.202</w:t>
      </w:r>
      <w:r w:rsidDel="00000000" w:rsidR="00000000" w:rsidRPr="00000000">
        <w:rPr>
          <w:rFonts w:ascii="Times New Roman" w:cs="Times New Roman" w:eastAsia="Times New Roman" w:hAnsi="Times New Roman"/>
          <w:rtl w:val="0"/>
        </w:rPr>
        <w:t xml:space="preserve">5</w:t>
      </w:r>
      <w:r w:rsidDel="00000000" w:rsidR="00000000" w:rsidRPr="00000000">
        <w:rPr>
          <w:rFonts w:ascii="Times New Roman" w:cs="Times New Roman" w:eastAsia="Times New Roman" w:hAnsi="Times New Roman"/>
          <w:sz w:val="24"/>
          <w:szCs w:val="24"/>
          <w:shd w:fill="auto" w:val="clear"/>
          <w:vertAlign w:val="baseline"/>
          <w:rtl w:val="0"/>
        </w:rPr>
        <w:t xml:space="preserve"> та 31.12.202</w:t>
      </w:r>
      <w:r w:rsidDel="00000000" w:rsidR="00000000" w:rsidRPr="00000000">
        <w:rPr>
          <w:rFonts w:ascii="Times New Roman" w:cs="Times New Roman" w:eastAsia="Times New Roman" w:hAnsi="Times New Roman"/>
          <w:rtl w:val="0"/>
        </w:rPr>
        <w:t xml:space="preserve">5</w:t>
      </w:r>
      <w:r w:rsidDel="00000000" w:rsidR="00000000" w:rsidRPr="00000000">
        <w:rPr>
          <w:rFonts w:ascii="Times New Roman" w:cs="Times New Roman" w:eastAsia="Times New Roman" w:hAnsi="Times New Roman"/>
          <w:sz w:val="24"/>
          <w:szCs w:val="24"/>
          <w:shd w:fill="auto" w:val="clear"/>
          <w:vertAlign w:val="baseline"/>
          <w:rtl w:val="0"/>
        </w:rPr>
        <w:t xml:space="preserve">, а також відповідного впливу на капітал у дооцінках та відстрочені податкові зобов'язання станом на ці дати, витрати на амортизацію, втрати від зменшення корисності за 202</w:t>
      </w:r>
      <w:r w:rsidDel="00000000" w:rsidR="00000000" w:rsidRPr="00000000">
        <w:rPr>
          <w:rFonts w:ascii="Times New Roman" w:cs="Times New Roman" w:eastAsia="Times New Roman" w:hAnsi="Times New Roman"/>
          <w:rtl w:val="0"/>
        </w:rPr>
        <w:t xml:space="preserve">5</w:t>
      </w:r>
      <w:r w:rsidDel="00000000" w:rsidR="00000000" w:rsidRPr="00000000">
        <w:rPr>
          <w:rFonts w:ascii="Times New Roman" w:cs="Times New Roman" w:eastAsia="Times New Roman" w:hAnsi="Times New Roman"/>
          <w:sz w:val="24"/>
          <w:szCs w:val="24"/>
          <w:shd w:fill="auto" w:val="clear"/>
          <w:vertAlign w:val="baseline"/>
          <w:rtl w:val="0"/>
        </w:rPr>
        <w:t xml:space="preserve"> та 202</w:t>
      </w:r>
      <w:r w:rsidDel="00000000" w:rsidR="00000000" w:rsidRPr="00000000">
        <w:rPr>
          <w:rFonts w:ascii="Times New Roman" w:cs="Times New Roman" w:eastAsia="Times New Roman" w:hAnsi="Times New Roman"/>
          <w:rtl w:val="0"/>
        </w:rPr>
        <w:t xml:space="preserve">4</w:t>
      </w:r>
      <w:r w:rsidDel="00000000" w:rsidR="00000000" w:rsidRPr="00000000">
        <w:rPr>
          <w:rFonts w:ascii="Times New Roman" w:cs="Times New Roman" w:eastAsia="Times New Roman" w:hAnsi="Times New Roman"/>
          <w:sz w:val="24"/>
          <w:szCs w:val="24"/>
          <w:shd w:fill="auto" w:val="clear"/>
          <w:vertAlign w:val="baseline"/>
          <w:rtl w:val="0"/>
        </w:rPr>
        <w:t xml:space="preserve"> роки.</w:t>
      </w:r>
      <w:r w:rsidDel="00000000" w:rsidR="00000000" w:rsidRPr="00000000">
        <w:rPr>
          <w:rtl w:val="0"/>
        </w:rPr>
      </w:r>
    </w:p>
    <w:p w:rsidR="00000000" w:rsidDel="00000000" w:rsidP="00000000" w:rsidRDefault="00000000" w:rsidRPr="00000000" w14:paraId="00000029">
      <w:pPr>
        <w:spacing w:after="62" w:before="62"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shd w:fill="auto" w:val="clear"/>
          <w:vertAlign w:val="baseline"/>
          <w:rtl w:val="0"/>
        </w:rPr>
        <w:t xml:space="preserve">Компанія не розкриває інформацію для кожного переоціненого класу основних засобів про балансову вартість, яка була б визнана, якби активи обліковували за моделлю собівартості.</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57" w:before="57" w:line="276" w:lineRule="auto"/>
        <w:ind w:left="0" w:right="0" w:firstLine="567"/>
        <w:jc w:val="both"/>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Наша думка із застереженням щодо фінансової звітності за 202</w:t>
      </w:r>
      <w:r w:rsidDel="00000000" w:rsidR="00000000" w:rsidRPr="00000000">
        <w:rPr>
          <w:rFonts w:ascii="Times New Roman" w:cs="Times New Roman" w:eastAsia="Times New Roman" w:hAnsi="Times New Roman"/>
          <w:rtl w:val="0"/>
        </w:rPr>
        <w:t xml:space="preserve">4</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рік також містила застереження по вищевказаному питанню.</w:t>
      </w:r>
    </w:p>
    <w:p w:rsidR="00000000" w:rsidDel="00000000" w:rsidP="00000000" w:rsidRDefault="00000000" w:rsidRPr="00000000" w14:paraId="0000002B">
      <w:pPr>
        <w:spacing w:after="62" w:before="62"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Ми провели аудит відповідно до Міжнародних стандартів аудиту (“МСА”). Нашу відповідальність згідно з цими стандартами викладено в розділі “Відповідальність аудитора за аудит фінансової звітності” нашого звіту. Ми є незалежними по відношенню до Компанії згідно з прийнятим Радою з Міжнародних стандартів етики для бухгалтерів (“РМСЕБ”) Міжнародним кодексом етики професійних бухгалтерів (включаючи Міжнародні стандарти незалежності) (“Кодекс РМСЕБ”) та етичними вимогами, застосовними в Україні до нашого аудиту фінансової звітності, а також виконали інші обов’язки з етики відповідно до цих вимог та Кодексу РМСЕБ. Ми вважаємо, що отримані нами аудиторські докази є достатніми і прийнятними для використання їх як основи для нашої думки із застереженням. </w:t>
      </w:r>
    </w:p>
    <w:p w:rsidR="00000000" w:rsidDel="00000000" w:rsidP="00000000" w:rsidRDefault="00000000" w:rsidRPr="00000000" w14:paraId="0000002C">
      <w:pPr>
        <w:spacing w:line="276" w:lineRule="auto"/>
        <w:ind w:firstLine="567"/>
        <w:jc w:val="both"/>
        <w:rPr>
          <w:rFonts w:ascii="Times New Roman" w:cs="Times New Roman" w:eastAsia="Times New Roman" w:hAnsi="Times New Roman"/>
          <w:b w:val="1"/>
          <w:bCs w:val="1"/>
          <w:sz w:val="16"/>
          <w:szCs w:val="16"/>
        </w:rPr>
      </w:pPr>
      <w:r w:rsidDel="00000000" w:rsidR="00000000" w:rsidRPr="00000000">
        <w:rPr>
          <w:rtl w:val="0"/>
        </w:rPr>
      </w:r>
    </w:p>
    <w:p w:rsidR="00000000" w:rsidDel="00000000" w:rsidP="00000000" w:rsidRDefault="00000000" w:rsidRPr="00000000" w14:paraId="0000002D">
      <w:pPr>
        <w:spacing w:after="0" w:line="276" w:lineRule="auto"/>
        <w:ind w:firstLine="567"/>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Суттєва невизначеність, що стосується безперервності діяльності</w:t>
      </w:r>
    </w:p>
    <w:p w:rsidR="00000000" w:rsidDel="00000000" w:rsidP="00000000" w:rsidRDefault="00000000" w:rsidRPr="00000000" w14:paraId="0000002E">
      <w:pPr>
        <w:spacing w:after="120" w:before="0"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Ми звертаємо увагу на [810000] Примітки - Корпоративна інформація та Звіт про відповідність вимогам МСФЗ до фінансової звітності, в якій розкривається інформація про російське військове вторгнення на територію України та його можливий негативний вплив на діяльність Компанії. На думку керівництва Компанії ці події або умови вказують на те, що існує суттєва невизначеність, яка може поставити під значний сумнів здатність Компанії продовжувати свою діяльність на безперервній основі. Нашу думку не було модифіковано щодо цього питання.</w:t>
      </w:r>
    </w:p>
    <w:p w:rsidR="00000000" w:rsidDel="00000000" w:rsidP="00000000" w:rsidRDefault="00000000" w:rsidRPr="00000000" w14:paraId="0000002F">
      <w:pPr>
        <w:spacing w:line="276" w:lineRule="auto"/>
        <w:ind w:firstLine="567"/>
        <w:jc w:val="both"/>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3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242021"/>
          <w:sz w:val="21"/>
          <w:szCs w:val="21"/>
          <w:rtl w:val="0"/>
        </w:rPr>
        <w:t xml:space="preserve">           </w:t>
      </w:r>
      <w:r w:rsidDel="00000000" w:rsidR="00000000" w:rsidRPr="00000000">
        <w:rPr>
          <w:rFonts w:ascii="Times New Roman" w:cs="Times New Roman" w:eastAsia="Times New Roman" w:hAnsi="Times New Roman"/>
          <w:b w:val="1"/>
          <w:bCs w:val="1"/>
          <w:rtl w:val="0"/>
        </w:rPr>
        <w:t xml:space="preserve">Ключові питання аудиту</w:t>
      </w:r>
      <w:r w:rsidDel="00000000" w:rsidR="00000000" w:rsidRPr="00000000">
        <w:rPr>
          <w:rtl w:val="0"/>
        </w:rPr>
      </w:r>
    </w:p>
    <w:p w:rsidR="00000000" w:rsidDel="00000000" w:rsidP="00000000" w:rsidRDefault="00000000" w:rsidRPr="00000000" w14:paraId="00000031">
      <w:pPr>
        <w:spacing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Ключові питання аудиту – це питання, що, на наше професійне судження, були найбільш значущими під час нашого аудиту фінансової звітності за поточний період. Ці питання розглядались у контексті нашого аудиту фінансової звітності в цілому та враховувались при формуванні думки щодо неї, при цьому ми не висловлюємо окремої думки щодо цих питань.</w:t>
      </w:r>
      <w:r w:rsidDel="00000000" w:rsidR="00000000" w:rsidRPr="00000000">
        <w:rPr>
          <w:rFonts w:ascii="Times New Roman" w:cs="Times New Roman" w:eastAsia="Times New Roman" w:hAnsi="Times New Roman"/>
          <w:rtl w:val="0"/>
        </w:rPr>
        <w:t xml:space="preserve"> Крім питань, викладених в розділах “Основа для думки із застереженням” та “Суттєва невизначеність, що стосується безперервності діяльності” нашого звіту, ми визначили, що немає ключових питань аудиту, інформацію щодо яких слід надати в нашому звіті.</w:t>
      </w:r>
    </w:p>
    <w:p w:rsidR="00000000" w:rsidDel="00000000" w:rsidP="00000000" w:rsidRDefault="00000000" w:rsidRPr="00000000" w14:paraId="00000032">
      <w:pPr>
        <w:spacing w:line="276" w:lineRule="auto"/>
        <w:ind w:firstLine="567"/>
        <w:jc w:val="both"/>
        <w:rPr>
          <w:rFonts w:ascii="Times New Roman" w:cs="Times New Roman" w:eastAsia="Times New Roman" w:hAnsi="Times New Roman"/>
          <w:b w:val="1"/>
          <w:bCs w:val="1"/>
          <w:sz w:val="16"/>
          <w:szCs w:val="16"/>
        </w:rPr>
      </w:pPr>
      <w:r w:rsidDel="00000000" w:rsidR="00000000" w:rsidRPr="00000000">
        <w:rPr>
          <w:rtl w:val="0"/>
        </w:rPr>
      </w:r>
    </w:p>
    <w:p w:rsidR="00000000" w:rsidDel="00000000" w:rsidP="00000000" w:rsidRDefault="00000000" w:rsidRPr="00000000" w14:paraId="00000033">
      <w:pPr>
        <w:spacing w:line="276" w:lineRule="auto"/>
        <w:ind w:firstLine="567"/>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Інша інформація</w:t>
      </w:r>
    </w:p>
    <w:p w:rsidR="00000000" w:rsidDel="00000000" w:rsidP="00000000" w:rsidRDefault="00000000" w:rsidRPr="00000000" w14:paraId="00000034">
      <w:pPr>
        <w:spacing w:after="57" w:before="57" w:line="295"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a"/>
          <w:rtl w:val="0"/>
        </w:rPr>
        <w:t xml:space="preserve">Управлінський персонал несе відповідальність за іншу інформацію, яка включає:</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35">
      <w:pPr>
        <w:spacing w:after="57" w:before="57" w:line="295"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a"/>
          <w:rtl w:val="0"/>
        </w:rPr>
        <w:t xml:space="preserve">- </w:t>
      </w:r>
      <w:r w:rsidDel="00000000" w:rsidR="00000000" w:rsidRPr="00000000">
        <w:rPr>
          <w:rFonts w:ascii="Times New Roman" w:cs="Times New Roman" w:eastAsia="Times New Roman" w:hAnsi="Times New Roman"/>
          <w:rtl w:val="0"/>
        </w:rPr>
        <w:t xml:space="preserve">[101000] </w:t>
      </w:r>
      <w:r w:rsidDel="00000000" w:rsidR="00000000" w:rsidRPr="00000000">
        <w:rPr>
          <w:rFonts w:ascii="Times New Roman" w:cs="Times New Roman" w:eastAsia="Times New Roman" w:hAnsi="Times New Roman"/>
          <w:color w:val="00000a"/>
          <w:rtl w:val="0"/>
        </w:rPr>
        <w:t xml:space="preserve">Звіт про управління (звіт керівництва) за 2025 рік, що складається відповідно до вимог статті 11 Закону про бухгалтерський облік та фінансову звітність та подається </w:t>
      </w:r>
      <w:r w:rsidDel="00000000" w:rsidR="00000000" w:rsidRPr="00000000">
        <w:rPr>
          <w:rFonts w:ascii="Times New Roman" w:cs="Times New Roman" w:eastAsia="Times New Roman" w:hAnsi="Times New Roman"/>
          <w:rtl w:val="0"/>
        </w:rPr>
        <w:t xml:space="preserve">на основі таксономії за міжнародними стандартами разом з фінансовою звітністю;</w:t>
      </w:r>
    </w:p>
    <w:p w:rsidR="00000000" w:rsidDel="00000000" w:rsidP="00000000" w:rsidRDefault="00000000" w:rsidRPr="00000000" w14:paraId="00000036">
      <w:pPr>
        <w:spacing w:after="57" w:before="57" w:line="295"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[101608] </w:t>
      </w:r>
      <w:r w:rsidDel="00000000" w:rsidR="00000000" w:rsidRPr="00000000">
        <w:rPr>
          <w:rFonts w:ascii="Times New Roman" w:cs="Times New Roman" w:eastAsia="Times New Roman" w:hAnsi="Times New Roman"/>
          <w:color w:val="00000a"/>
          <w:rtl w:val="0"/>
        </w:rPr>
        <w:t xml:space="preserve">Звіт керівництва (для емітентів цінних паперів)</w:t>
      </w:r>
      <w:r w:rsidDel="00000000" w:rsidR="00000000" w:rsidRPr="00000000">
        <w:rPr>
          <w:rFonts w:ascii="Times New Roman" w:cs="Times New Roman" w:eastAsia="Times New Roman" w:hAnsi="Times New Roman"/>
          <w:rtl w:val="0"/>
        </w:rPr>
        <w:t xml:space="preserve"> за 2025 рік, що складається відповідно до вимог статей 126 та 127 Закону України “Про ринки капіталу та організовані товарні ринки” від 23.02.2006 року № 3480-IV </w:t>
      </w:r>
      <w:r w:rsidDel="00000000" w:rsidR="00000000" w:rsidRPr="00000000">
        <w:rPr>
          <w:rFonts w:ascii="Times New Roman" w:cs="Times New Roman" w:eastAsia="Times New Roman" w:hAnsi="Times New Roman"/>
          <w:color w:val="00000a"/>
          <w:rtl w:val="0"/>
        </w:rPr>
        <w:t xml:space="preserve">та подається </w:t>
      </w:r>
      <w:r w:rsidDel="00000000" w:rsidR="00000000" w:rsidRPr="00000000">
        <w:rPr>
          <w:rFonts w:ascii="Times New Roman" w:cs="Times New Roman" w:eastAsia="Times New Roman" w:hAnsi="Times New Roman"/>
          <w:rtl w:val="0"/>
        </w:rPr>
        <w:t xml:space="preserve">на основі таксономії за міжнародними стандартами разом з фінансовою звітністю;</w:t>
      </w:r>
    </w:p>
    <w:p w:rsidR="00000000" w:rsidDel="00000000" w:rsidP="00000000" w:rsidRDefault="00000000" w:rsidRPr="00000000" w14:paraId="00000037">
      <w:pPr>
        <w:spacing w:after="57" w:before="57" w:line="295"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Річну інформацію емітента цінних паперів за 2025 рік, що складається та подається відповідно до вимог статей 126 та 127 Закону України “Про ринки капіталу та організовані товарні ринки” від 23.02.2006 року № 3480-IV, яку ми очікуємо отримати після дати цього звіту аудитора.</w:t>
      </w:r>
    </w:p>
    <w:p w:rsidR="00000000" w:rsidDel="00000000" w:rsidP="00000000" w:rsidRDefault="00000000" w:rsidRPr="00000000" w14:paraId="00000038">
      <w:pPr>
        <w:spacing w:after="57" w:before="57" w:line="295"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a"/>
          <w:rtl w:val="0"/>
        </w:rPr>
        <w:t xml:space="preserve">Наша думка щодо фінансової звітності Компанії не поширюється на іншу інформацію та ми не робимо висновку з будь-яким рівнем впевненості щодо цієї іншої інформації.</w:t>
      </w:r>
      <w:r w:rsidDel="00000000" w:rsidR="00000000" w:rsidRPr="00000000">
        <w:rPr>
          <w:rtl w:val="0"/>
        </w:rPr>
      </w:r>
    </w:p>
    <w:p w:rsidR="00000000" w:rsidDel="00000000" w:rsidP="00000000" w:rsidRDefault="00000000" w:rsidRPr="00000000" w14:paraId="00000039">
      <w:pPr>
        <w:spacing w:after="57" w:before="57" w:line="295" w:lineRule="auto"/>
        <w:ind w:firstLine="567"/>
        <w:jc w:val="both"/>
        <w:rPr>
          <w:rFonts w:ascii="Times New Roman" w:cs="Times New Roman" w:eastAsia="Times New Roman" w:hAnsi="Times New Roman"/>
          <w:color w:val="00000a"/>
        </w:rPr>
      </w:pPr>
      <w:r w:rsidDel="00000000" w:rsidR="00000000" w:rsidRPr="00000000">
        <w:rPr>
          <w:rFonts w:ascii="Times New Roman" w:cs="Times New Roman" w:eastAsia="Times New Roman" w:hAnsi="Times New Roman"/>
          <w:rtl w:val="0"/>
        </w:rPr>
        <w:t xml:space="preserve">У зв’язку з нашим аудитом фінансової звітності нашою відповідальністю є ознайомитися з іншою інформацією, зазначеною вище, та при цьому розглянути, чи існує суттєва невідповідність між іншою інформацією і фінансовою звітністю або нашими знаннями, отриманими під час аудиту, або чи ця інша інформація виглядає такою, що містить суттєве викривлення. Якщо на основі проведеної нами роботи ми доходимо висновку, що існує суттєве викривлення цієї іншої інформації, ми зобов’язані повідомити про цей факт. </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57" w:before="57" w:line="276" w:lineRule="auto"/>
        <w:ind w:left="0" w:right="0" w:firstLine="567"/>
        <w:jc w:val="both"/>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Так як ми не змогли отримати прийнятні аудиторські докази в достатньому обсязі стосовно питання, наведеного у розділі “Основа для думки із застереженням” нашого звіту, ми не можемо визначити, чи інформація у </w:t>
      </w:r>
      <w:r w:rsidDel="00000000" w:rsidR="00000000" w:rsidRPr="00000000">
        <w:rPr>
          <w:rFonts w:ascii="Times New Roman" w:cs="Times New Roman" w:eastAsia="Times New Roman" w:hAnsi="Times New Roman"/>
          <w:color w:val="00000a"/>
          <w:rtl w:val="0"/>
        </w:rPr>
        <w:t xml:space="preserve">Звіті про управління (звіт керівництва)</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rtl w:val="0"/>
        </w:rPr>
        <w:t xml:space="preserve">за 2025 рік </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є суттєво викривленою у зв’язку з цим питанням.</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57" w:before="57" w:line="276" w:lineRule="auto"/>
        <w:ind w:left="0" w:right="0" w:firstLine="567"/>
        <w:jc w:val="both"/>
        <w:rPr>
          <w:rFonts w:ascii="Times New Roman" w:cs="Times New Roman" w:eastAsia="Times New Roman" w:hAnsi="Times New Roman"/>
          <w:i w:val="0"/>
          <w:iCs w:val="0"/>
          <w:smallCaps w:val="0"/>
          <w:strike w:val="0"/>
          <w:color w:val="000000"/>
          <w:sz w:val="24"/>
          <w:szCs w:val="24"/>
          <w:u w:val="none"/>
          <w:vertAlign w:val="baseline"/>
        </w:rPr>
      </w:pPr>
      <w:r w:rsidDel="00000000" w:rsidR="00000000" w:rsidRPr="00000000">
        <w:rPr>
          <w:rFonts w:ascii="Times New Roman" w:cs="Times New Roman" w:eastAsia="Times New Roman" w:hAnsi="Times New Roman"/>
          <w:rtl w:val="0"/>
        </w:rPr>
        <w:t xml:space="preserve">У </w:t>
      </w:r>
      <w:r w:rsidDel="00000000" w:rsidR="00000000" w:rsidRPr="00000000">
        <w:rPr>
          <w:rFonts w:ascii="Times New Roman" w:cs="Times New Roman" w:eastAsia="Times New Roman" w:hAnsi="Times New Roman"/>
          <w:color w:val="00000a"/>
          <w:rtl w:val="0"/>
        </w:rPr>
        <w:t xml:space="preserve">Звіті керівництва (для емітентів цінних паперів) за 2025 рік</w:t>
      </w:r>
      <w:r w:rsidDel="00000000" w:rsidR="00000000" w:rsidRPr="00000000">
        <w:rPr>
          <w:rFonts w:ascii="Times New Roman" w:cs="Times New Roman" w:eastAsia="Times New Roman" w:hAnsi="Times New Roman"/>
          <w:rtl w:val="0"/>
        </w:rPr>
        <w:t xml:space="preserve"> ми не виявили суттєву невідповідність між іншою інформацією та фінансовою звітністю або нашими знаннями, отриманими під час аудиту.</w:t>
      </w:r>
      <w:r w:rsidDel="00000000" w:rsidR="00000000" w:rsidRPr="00000000">
        <w:rPr>
          <w:rFonts w:ascii="Times New Roman" w:cs="Times New Roman" w:eastAsia="Times New Roman" w:hAnsi="Times New Roman"/>
          <w:i w:val="0"/>
          <w:iCs w:val="0"/>
          <w:smallCaps w:val="0"/>
          <w:strike w:val="0"/>
          <w:color w:val="000000"/>
          <w:sz w:val="24"/>
          <w:szCs w:val="24"/>
          <w:u w:val="none"/>
          <w:vertAlign w:val="baseline"/>
          <w:rtl w:val="0"/>
        </w:rPr>
        <w:t xml:space="preserve"> </w:t>
      </w:r>
    </w:p>
    <w:p w:rsidR="00000000" w:rsidDel="00000000" w:rsidP="00000000" w:rsidRDefault="00000000" w:rsidRPr="00000000" w14:paraId="0000003C">
      <w:pPr>
        <w:spacing w:after="57" w:before="57" w:line="295" w:lineRule="auto"/>
        <w:ind w:firstLine="567"/>
        <w:jc w:val="both"/>
        <w:rPr>
          <w:rFonts w:ascii="Times New Roman" w:cs="Times New Roman" w:eastAsia="Times New Roman" w:hAnsi="Times New Roman"/>
          <w:color w:val="00000a"/>
        </w:rPr>
      </w:pPr>
      <w:r w:rsidDel="00000000" w:rsidR="00000000" w:rsidRPr="00000000">
        <w:rPr>
          <w:rFonts w:ascii="Times New Roman" w:cs="Times New Roman" w:eastAsia="Times New Roman" w:hAnsi="Times New Roman"/>
          <w:color w:val="00000a"/>
          <w:rtl w:val="0"/>
        </w:rPr>
        <w:t xml:space="preserve">Коли ми отримаємо та ознайомимося з Річною інформацією емітента цінних паперів за 2025 рік, якщо ми дійдемо висновку, що вона містить суттєве викривлення, ми повідомимо про це питання додатково тих, кого наділено найвищими повноваженнями.</w:t>
      </w:r>
    </w:p>
    <w:p w:rsidR="00000000" w:rsidDel="00000000" w:rsidP="00000000" w:rsidRDefault="00000000" w:rsidRPr="00000000" w14:paraId="0000003D">
      <w:pPr>
        <w:spacing w:line="276" w:lineRule="auto"/>
        <w:ind w:firstLine="567"/>
        <w:jc w:val="both"/>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3E">
      <w:pPr>
        <w:spacing w:line="276" w:lineRule="auto"/>
        <w:ind w:firstLine="567"/>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Відповідальність управлінського персоналу та тих, кого наділено найвищими повноваженнями, за фінансову звітність </w:t>
      </w:r>
    </w:p>
    <w:p w:rsidR="00000000" w:rsidDel="00000000" w:rsidP="00000000" w:rsidRDefault="00000000" w:rsidRPr="00000000" w14:paraId="0000003F">
      <w:pPr>
        <w:spacing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Управлінський персонал несе відповідальність за складання і достовірне подання фінансової звітності відповідно до МСФЗ та Закону про бухгалтерський облік та фінансову звітність та за таку систему внутрішнього контролю, яку управлінський персонал визначає потрібною для того, щоб забезпечити складання фінансової звітності, що не містить суттєвих викривлень внаслідок шахрайства або помилки.</w:t>
      </w:r>
    </w:p>
    <w:p w:rsidR="00000000" w:rsidDel="00000000" w:rsidP="00000000" w:rsidRDefault="00000000" w:rsidRPr="00000000" w14:paraId="00000040">
      <w:pPr>
        <w:spacing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 складанні фінансової звітності управлінський персонал несе відповідальність за оцінку здатності Компанії продовжувати свою діяльність на безперервній основі, розкриваючи, де це застосовно, питання, що стосуються безперервності діяльності, та використовуючи припущення про безперервність діяльності як основи для бухгалтерського обліку, крім випадків, якщо управлінський персонал або планує ліквідувати Компанію чи припинити діяльність, або не має інших реальних альтернатив цьому.</w:t>
      </w:r>
    </w:p>
    <w:p w:rsidR="00000000" w:rsidDel="00000000" w:rsidP="00000000" w:rsidRDefault="00000000" w:rsidRPr="00000000" w14:paraId="00000041">
      <w:pPr>
        <w:spacing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Ті, кого наділено найвищими повноваженнями,</w:t>
      </w:r>
      <w:r w:rsidDel="00000000" w:rsidR="00000000" w:rsidRPr="00000000">
        <w:rPr>
          <w:rFonts w:ascii="Times New Roman" w:cs="Times New Roman" w:eastAsia="Times New Roman" w:hAnsi="Times New Roman"/>
          <w:rtl w:val="0"/>
        </w:rPr>
        <w:t xml:space="preserve"> несуть відповідальність за нагляд за процесом фінансового звітування Компанії. </w:t>
      </w:r>
    </w:p>
    <w:p w:rsidR="00000000" w:rsidDel="00000000" w:rsidP="00000000" w:rsidRDefault="00000000" w:rsidRPr="00000000" w14:paraId="00000042">
      <w:pPr>
        <w:spacing w:line="276" w:lineRule="auto"/>
        <w:ind w:firstLine="567"/>
        <w:jc w:val="both"/>
        <w:rPr>
          <w:rFonts w:ascii="Times New Roman" w:cs="Times New Roman" w:eastAsia="Times New Roman" w:hAnsi="Times New Roman"/>
          <w:b w:val="1"/>
          <w:bCs w:val="1"/>
          <w:sz w:val="14"/>
          <w:szCs w:val="14"/>
        </w:rPr>
      </w:pPr>
      <w:r w:rsidDel="00000000" w:rsidR="00000000" w:rsidRPr="00000000">
        <w:rPr>
          <w:rtl w:val="0"/>
        </w:rPr>
      </w:r>
    </w:p>
    <w:p w:rsidR="00000000" w:rsidDel="00000000" w:rsidP="00000000" w:rsidRDefault="00000000" w:rsidRPr="00000000" w14:paraId="00000043">
      <w:pPr>
        <w:spacing w:line="276" w:lineRule="auto"/>
        <w:ind w:firstLine="567"/>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Відповідальність аудитора за аудит фінансової звітності</w:t>
      </w:r>
    </w:p>
    <w:p w:rsidR="00000000" w:rsidDel="00000000" w:rsidP="00000000" w:rsidRDefault="00000000" w:rsidRPr="00000000" w14:paraId="00000044">
      <w:pPr>
        <w:spacing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Нашими цілями є отримання обґрунтованої впевненості, що фінансова звітність у цілому не містить суттєвого викривлення внаслідок шахрайства або помилки, та випуск звіту аудитора, що містить нашу думку. Обґрунтована впевненість є високим рівнем впевненості, проте не гарантує, що аудит, проведений відповідно до МСА, завжди виявить суттєве викривлення, коли воно існує. 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економічні рішення користувачів, що приймаються на основі цієї фінансової звітності. </w:t>
      </w:r>
    </w:p>
    <w:p w:rsidR="00000000" w:rsidDel="00000000" w:rsidP="00000000" w:rsidRDefault="00000000" w:rsidRPr="00000000" w14:paraId="00000045">
      <w:pPr>
        <w:spacing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Виконуючи аудит відповідно до вимог МСА, ми використовуємо професійне судження та професійний скептицизм протягом усього завдання з аудиту. Крім того, ми:</w:t>
      </w:r>
    </w:p>
    <w:p w:rsidR="00000000" w:rsidDel="00000000" w:rsidP="00000000" w:rsidRDefault="00000000" w:rsidRPr="00000000" w14:paraId="00000046">
      <w:pPr>
        <w:spacing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ідентифікуємо та оцінюємо ризики суттєвого викривлення фінансової звітності внаслідок шахрайства чи помилки, розробляємо й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невиявлення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неправильні твердження або нехтування заходами внутрішнього контролю;</w:t>
      </w:r>
    </w:p>
    <w:p w:rsidR="00000000" w:rsidDel="00000000" w:rsidP="00000000" w:rsidRDefault="00000000" w:rsidRPr="00000000" w14:paraId="00000047">
      <w:pPr>
        <w:spacing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w:t>
      </w:r>
    </w:p>
    <w:p w:rsidR="00000000" w:rsidDel="00000000" w:rsidP="00000000" w:rsidRDefault="00000000" w:rsidRPr="00000000" w14:paraId="00000048">
      <w:pPr>
        <w:spacing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оцінюємо прийнятність застосованих облікових політик та обґрунтованість облікових оцінок і відповідних розкриттів інформації, зроблених управлінським персоналом;</w:t>
      </w:r>
    </w:p>
    <w:p w:rsidR="00000000" w:rsidDel="00000000" w:rsidP="00000000" w:rsidRDefault="00000000" w:rsidRPr="00000000" w14:paraId="00000049">
      <w:pPr>
        <w:spacing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доходимо висновку щодо прийнятності використання управлінським персоналом 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що може поставити під значний сумнів здатність Компанії продовжувати свою діяльність на безперервній основі. Якщо ми доходимо висновку щодо існування такої суттєвої невизначеності, ми повинні привернути увагу в нашому звіті аудитора до відповідних розкриттів інформації у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аудитора. Втім майбутні події або умови можуть примусити Компанію припинити свою діяльність на безперервній основі;</w:t>
      </w:r>
    </w:p>
    <w:p w:rsidR="00000000" w:rsidDel="00000000" w:rsidP="00000000" w:rsidRDefault="00000000" w:rsidRPr="00000000" w14:paraId="0000004A">
      <w:pPr>
        <w:spacing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оцінюємо загальне подання, структуру та зміст фінансової звітності включно з розкриттями інформації, а також те, чи показує фінансова звітність операції та події, що покладені в основу її складання, так, щоб досягти достовірного подання.</w:t>
      </w:r>
    </w:p>
    <w:p w:rsidR="00000000" w:rsidDel="00000000" w:rsidP="00000000" w:rsidRDefault="00000000" w:rsidRPr="00000000" w14:paraId="0000004B">
      <w:pPr>
        <w:spacing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Ми повідомляємо тим</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 кого наділено найвищими повноваженнями,</w:t>
      </w:r>
      <w:r w:rsidDel="00000000" w:rsidR="00000000" w:rsidRPr="00000000">
        <w:rPr>
          <w:rFonts w:ascii="Times New Roman" w:cs="Times New Roman" w:eastAsia="Times New Roman" w:hAnsi="Times New Roman"/>
          <w:rtl w:val="0"/>
        </w:rPr>
        <w:t xml:space="preserve"> разом з іншими питаннями інформацію про запланований обсяг і час проведення аудиту та суттєві аудиторські результати, включаючи будь-які суттєві недоліки заходів внутрішнього контролю, виявлені нами під час аудиту. </w:t>
      </w:r>
    </w:p>
    <w:p w:rsidR="00000000" w:rsidDel="00000000" w:rsidP="00000000" w:rsidRDefault="00000000" w:rsidRPr="00000000" w14:paraId="0000004C">
      <w:pPr>
        <w:spacing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Ми також надаємо тим</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 кого наділено найвищими повноваженнями,</w:t>
      </w:r>
      <w:r w:rsidDel="00000000" w:rsidR="00000000" w:rsidRPr="00000000">
        <w:rPr>
          <w:rFonts w:ascii="Times New Roman" w:cs="Times New Roman" w:eastAsia="Times New Roman" w:hAnsi="Times New Roman"/>
          <w:rtl w:val="0"/>
        </w:rPr>
        <w:t xml:space="preserve"> твердження, що ми виконали відповідні етичні вимоги щодо незалежності, та повідомляємо їм про всі стосунки й інші питання, які могли б обґрунтовано вважатись такими, що впливають на нашу незалежність, а також, де це застосовно, щодо відповідних застережних заходів.</w:t>
      </w:r>
    </w:p>
    <w:p w:rsidR="00000000" w:rsidDel="00000000" w:rsidP="00000000" w:rsidRDefault="00000000" w:rsidRPr="00000000" w14:paraId="0000004D">
      <w:pPr>
        <w:spacing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 переліку всіх питань, інформація щодо яких надавалась тим</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 кого наділено найвищими повноваженнями</w:t>
      </w:r>
      <w:r w:rsidDel="00000000" w:rsidR="00000000" w:rsidRPr="00000000">
        <w:rPr>
          <w:rFonts w:ascii="Times New Roman" w:cs="Times New Roman" w:eastAsia="Times New Roman" w:hAnsi="Times New Roman"/>
          <w:rtl w:val="0"/>
        </w:rPr>
        <w:t xml:space="preserve">, ми визначили ті, що були найбільш значущими під час аудиту фінансової звітності поточного періоду, тобто ті, які є ключовими питаннями аудиту. Ми описуємо ці питання в нашому звіті аудитора крім випадків, якщо законодавчим чи регуляторним актом заборонено публічне розкриття такого питання, або коли за вкрай виняткових обставин ми визначаємо, що таке питання не слід висвітлювати в нашому звіті, оскільки негативні наслідки такого висвітлення можуть очікувано переважити його корисність для інтересів громадськості.</w:t>
      </w:r>
    </w:p>
    <w:p w:rsidR="00000000" w:rsidDel="00000000" w:rsidP="00000000" w:rsidRDefault="00000000" w:rsidRPr="00000000" w14:paraId="0000004E">
      <w:pPr>
        <w:spacing w:line="276" w:lineRule="auto"/>
        <w:ind w:firstLine="567"/>
        <w:rPr>
          <w:rFonts w:ascii="Times New Roman" w:cs="Times New Roman" w:eastAsia="Times New Roman" w:hAnsi="Times New Roman"/>
          <w:b w:val="1"/>
          <w:bCs w:val="1"/>
          <w:sz w:val="16"/>
          <w:szCs w:val="16"/>
        </w:rPr>
      </w:pPr>
      <w:r w:rsidDel="00000000" w:rsidR="00000000" w:rsidRPr="00000000">
        <w:rPr>
          <w:rtl w:val="0"/>
        </w:rPr>
      </w:r>
    </w:p>
    <w:p w:rsidR="00000000" w:rsidDel="00000000" w:rsidP="00000000" w:rsidRDefault="00000000" w:rsidRPr="00000000" w14:paraId="0000004F">
      <w:pPr>
        <w:spacing w:line="276" w:lineRule="auto"/>
        <w:ind w:firstLine="567"/>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Звіт щодо вимог інших законодавчих і нормативних актів</w:t>
      </w:r>
    </w:p>
    <w:p w:rsidR="00000000" w:rsidDel="00000000" w:rsidP="00000000" w:rsidRDefault="00000000" w:rsidRPr="00000000" w14:paraId="00000050">
      <w:pPr>
        <w:spacing w:line="276" w:lineRule="auto"/>
        <w:ind w:firstLine="567"/>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Інша інформація, яка вимагається статтею 14 Закону України “Про аудит фінансової звітності та аудиторську діяльність” від 21.07.2017 № 2258-VIII</w:t>
      </w:r>
    </w:p>
    <w:p w:rsidR="00000000" w:rsidDel="00000000" w:rsidP="00000000" w:rsidRDefault="00000000" w:rsidRPr="00000000" w14:paraId="00000051">
      <w:pPr>
        <w:spacing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Ми були призначені аудиторами для виконання обов'язкового аудиту фінансової звітності за рік, що закінчився 31 грудня 2025 р. </w:t>
      </w:r>
      <w:r w:rsidDel="00000000" w:rsidR="00000000" w:rsidRPr="00000000">
        <w:rPr>
          <w:rFonts w:ascii="Times New Roman" w:cs="Times New Roman" w:eastAsia="Times New Roman" w:hAnsi="Times New Roman"/>
          <w:rtl w:val="0"/>
        </w:rPr>
        <w:t xml:space="preserve">рішенням Наглядової ради</w:t>
      </w:r>
      <w:r w:rsidDel="00000000" w:rsidR="00000000" w:rsidRPr="00000000">
        <w:rPr>
          <w:rFonts w:ascii="Times New Roman" w:cs="Times New Roman" w:eastAsia="Times New Roman" w:hAnsi="Times New Roman"/>
          <w:color w:val="000000"/>
          <w:rtl w:val="0"/>
        </w:rPr>
        <w:t xml:space="preserve"> ПУБЛІЧНОГО АКЦІОНЕРНОГО ТОВАРИСТВА “МОНФАРМ” (протокол </w:t>
      </w:r>
      <w:r w:rsidDel="00000000" w:rsidR="00000000" w:rsidRPr="00000000">
        <w:rPr>
          <w:rFonts w:ascii="Times New Roman" w:cs="Times New Roman" w:eastAsia="Times New Roman" w:hAnsi="Times New Roman"/>
          <w:rtl w:val="0"/>
        </w:rPr>
        <w:t xml:space="preserve">бн</w:t>
      </w:r>
      <w:r w:rsidDel="00000000" w:rsidR="00000000" w:rsidRPr="00000000">
        <w:rPr>
          <w:rFonts w:ascii="Times New Roman" w:cs="Times New Roman" w:eastAsia="Times New Roman" w:hAnsi="Times New Roman"/>
          <w:color w:val="000000"/>
          <w:rtl w:val="0"/>
        </w:rPr>
        <w:t xml:space="preserve"> від 15.11.2025)</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Для Аудиторської фірми у формі Товариства з обмеженою відповідальністю “Азимут” це завдання </w:t>
      </w:r>
      <w:r w:rsidDel="00000000" w:rsidR="00000000" w:rsidRPr="00000000">
        <w:rPr>
          <w:rFonts w:ascii="Times New Roman" w:cs="Times New Roman" w:eastAsia="Times New Roman" w:hAnsi="Times New Roman"/>
          <w:rtl w:val="0"/>
        </w:rPr>
        <w:t xml:space="preserve">є п’ятим</w:t>
      </w:r>
      <w:r w:rsidDel="00000000" w:rsidR="00000000" w:rsidRPr="00000000">
        <w:rPr>
          <w:rFonts w:ascii="Times New Roman" w:cs="Times New Roman" w:eastAsia="Times New Roman" w:hAnsi="Times New Roman"/>
          <w:rtl w:val="0"/>
        </w:rPr>
        <w:t xml:space="preserve"> завданням з обов'язкового аудиту фінансової звітності Компанії.</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57" w:before="57" w:line="276" w:lineRule="auto"/>
        <w:ind w:left="0" w:right="0" w:firstLine="567"/>
        <w:jc w:val="both"/>
        <w:rPr>
          <w:rFonts w:ascii="Times New Roman" w:cs="Times New Roman" w:eastAsia="Times New Roman" w:hAnsi="Times New Roman"/>
          <w:i w:val="0"/>
          <w:iCs w:val="0"/>
          <w:smallCaps w:val="0"/>
          <w:strike w:val="0"/>
          <w:color w:val="000000"/>
          <w:sz w:val="24"/>
          <w:szCs w:val="24"/>
          <w:u w:val="none"/>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vertAlign w:val="baseline"/>
          <w:rtl w:val="0"/>
        </w:rPr>
        <w:t xml:space="preserve">Ми не надавали Компанії неаудиторських послуг,</w:t>
      </w:r>
      <w:r w:rsidDel="00000000" w:rsidR="00000000" w:rsidRPr="00000000">
        <w:rPr>
          <w:rFonts w:ascii="Times New Roman" w:cs="Times New Roman" w:eastAsia="Times New Roman" w:hAnsi="Times New Roman"/>
          <w:i w:val="0"/>
          <w:iCs w:val="0"/>
          <w:smallCaps w:val="0"/>
          <w:strike w:val="0"/>
          <w:color w:val="000000"/>
          <w:sz w:val="24"/>
          <w:szCs w:val="24"/>
          <w:u w:val="none"/>
          <w:vertAlign w:val="baseline"/>
          <w:rtl w:val="0"/>
        </w:rPr>
        <w:t xml:space="preserve"> визначених статтею 6 Закону “Про аудит фінансової звітност</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і та аудиторську діяльність” протягом 202</w:t>
      </w:r>
      <w:r w:rsidDel="00000000" w:rsidR="00000000" w:rsidRPr="00000000">
        <w:rPr>
          <w:rFonts w:ascii="Times New Roman" w:cs="Times New Roman" w:eastAsia="Times New Roman" w:hAnsi="Times New Roman"/>
          <w:rtl w:val="0"/>
        </w:rPr>
        <w:t xml:space="preserve">5</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року та у період з 01 січня 202</w:t>
      </w:r>
      <w:r w:rsidDel="00000000" w:rsidR="00000000" w:rsidRPr="00000000">
        <w:rPr>
          <w:rFonts w:ascii="Times New Roman" w:cs="Times New Roman" w:eastAsia="Times New Roman" w:hAnsi="Times New Roman"/>
          <w:rtl w:val="0"/>
        </w:rPr>
        <w:t xml:space="preserve">6</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року до дати підписання цього звіту незалежного аудитора. У 202</w:t>
      </w:r>
      <w:r w:rsidDel="00000000" w:rsidR="00000000" w:rsidRPr="00000000">
        <w:rPr>
          <w:rFonts w:ascii="Times New Roman" w:cs="Times New Roman" w:eastAsia="Times New Roman" w:hAnsi="Times New Roman"/>
          <w:rtl w:val="0"/>
        </w:rPr>
        <w:t xml:space="preserve">5</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році та у період з 01 січня 202</w:t>
      </w:r>
      <w:r w:rsidDel="00000000" w:rsidR="00000000" w:rsidRPr="00000000">
        <w:rPr>
          <w:rFonts w:ascii="Times New Roman" w:cs="Times New Roman" w:eastAsia="Times New Roman" w:hAnsi="Times New Roman"/>
          <w:rtl w:val="0"/>
        </w:rPr>
        <w:t xml:space="preserve">6</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року до дати підписання цього звіту незалежного аудитора, крім послуг з обов'язкового аудиту,</w:t>
      </w:r>
      <w:r w:rsidDel="00000000" w:rsidR="00000000" w:rsidRPr="00000000">
        <w:rPr>
          <w:rFonts w:ascii="Times New Roman" w:cs="Times New Roman" w:eastAsia="Times New Roman" w:hAnsi="Times New Roman"/>
          <w:i w:val="0"/>
          <w:iCs w:val="0"/>
          <w:smallCaps w:val="0"/>
          <w:strike w:val="0"/>
          <w:color w:val="000000"/>
          <w:sz w:val="24"/>
          <w:szCs w:val="24"/>
          <w:u w:val="none"/>
          <w:vertAlign w:val="baseline"/>
          <w:rtl w:val="0"/>
        </w:rPr>
        <w:t xml:space="preserve"> </w:t>
      </w:r>
      <w:r w:rsidDel="00000000" w:rsidR="00000000" w:rsidRPr="00000000">
        <w:rPr>
          <w:rFonts w:ascii="Times New Roman" w:cs="Times New Roman" w:eastAsia="Times New Roman" w:hAnsi="Times New Roman"/>
          <w:i w:val="0"/>
          <w:iCs w:val="0"/>
          <w:smallCaps w:val="0"/>
          <w:strike w:val="0"/>
          <w:color w:val="000000"/>
          <w:sz w:val="24"/>
          <w:szCs w:val="24"/>
          <w:u w:val="none"/>
          <w:vertAlign w:val="baseline"/>
          <w:rtl w:val="0"/>
        </w:rPr>
        <w:t xml:space="preserve">ми надавали Компанії інформаційно-консультаційні послуги, не заборонені законодавством.</w:t>
      </w:r>
    </w:p>
    <w:p w:rsidR="00000000" w:rsidDel="00000000" w:rsidP="00000000" w:rsidRDefault="00000000" w:rsidRPr="00000000" w14:paraId="00000053">
      <w:pPr>
        <w:spacing w:after="57" w:before="57"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Аудиторська фірма у формі Товариства з обмеженою відповідальністю “Азимут” та ключовий партнер з аудиту є незалежними по відношенню до Компанії відповідно до Кодексу РМСЕБ та етичних вимог, застосовними в Україні до нашого аудиту фінансової звітності. Ми виконали інші етичні обов'язки відповідно до цих вимог і Кодексу РМСЕБ. Під час проведення аудиту нами не було встановлено жодних додаткових фактів або питань, які могли б вплинути на нашу незалежність та на які ми б хотіли звернути увагу.</w:t>
      </w:r>
    </w:p>
    <w:p w:rsidR="00000000" w:rsidDel="00000000" w:rsidP="00000000" w:rsidRDefault="00000000" w:rsidRPr="00000000" w14:paraId="00000054">
      <w:pPr>
        <w:spacing w:after="57" w:before="57"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Ми підтверджуємо, що думка аудитора, наведена у цьому звіті незалежного аудитора, узгоджується з додатковим звітом для аудиторського комітету,</w:t>
      </w:r>
      <w:r w:rsidDel="00000000" w:rsidR="00000000" w:rsidRPr="00000000">
        <w:rPr>
          <w:rFonts w:ascii="Times New Roman" w:cs="Times New Roman" w:eastAsia="Times New Roman" w:hAnsi="Times New Roman"/>
          <w:rtl w:val="0"/>
        </w:rPr>
        <w:t xml:space="preserve"> функції якого покладено на комітет Наглядової ради з питань аудиту.</w:t>
      </w:r>
    </w:p>
    <w:p w:rsidR="00000000" w:rsidDel="00000000" w:rsidP="00000000" w:rsidRDefault="00000000" w:rsidRPr="00000000" w14:paraId="00000055">
      <w:pPr>
        <w:spacing w:after="57" w:before="57"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Ми визначили значущі ризики та їх здатність привести до суттєвих викривлень у фінансовій звітності Компанії. Ми зосередили увагу на областях значного ризику: наявності незвичайних операцій, застосування управлінським персоналом Компанії суджень щодо статей фінансової звітності, яким властивий високий ступінь невизначеності. Ми отримали розуміння внутрішнього контролю в Компанії, щоб допомогти ідентифікувати та оцінити ризики суттєвих викривлень у фінансовій звітності. Питання, які потребували нашої особливої уваги, ми відобразили у нашому звіті в розділах “Основа для думки із застереженням” та “Суттєва невизначеність, що стосується безперервності діяльності”.</w:t>
      </w:r>
    </w:p>
    <w:p w:rsidR="00000000" w:rsidDel="00000000" w:rsidP="00000000" w:rsidRDefault="00000000" w:rsidRPr="00000000" w14:paraId="00000056">
      <w:pPr>
        <w:spacing w:after="57" w:before="57"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Ми не виявили достатніх підстав підозрювати, що мали місце порушення, зокрема шахрайство, щодо фінансової звітності Компанії.</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57" w:before="57" w:line="276" w:lineRule="auto"/>
        <w:ind w:left="0" w:right="0" w:firstLine="567"/>
        <w:jc w:val="both"/>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Обсяг нашого аудиту охоплював фінансову звітність Компанії за 202</w:t>
      </w:r>
      <w:r w:rsidDel="00000000" w:rsidR="00000000" w:rsidRPr="00000000">
        <w:rPr>
          <w:rFonts w:ascii="Times New Roman" w:cs="Times New Roman" w:eastAsia="Times New Roman" w:hAnsi="Times New Roman"/>
          <w:rtl w:val="0"/>
        </w:rPr>
        <w:t xml:space="preserve">5</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рік. Ми перевірили цю фінансову звітність на основі тестування, рівень якого ґрунтувався на нашій оцінці ризику того, що стаття у фінансовій звітності може бути суттєво викривлена. У зв’язку з цим наш аудиторський підхід було зосереджено на тих сферах діяльності Компанії, які вважаються нами значними для результатів її діяльності за звітний період та фінансового стану на 31.12.2025. Властиві для аудиту обмеження викладені у параграфі “Відповідальність аудитора за аудит фінансової звітності” цього звіту. Аудит не гарантує виявлення всіх суттєвих викривлень через такі фактори, як використання суджень, тестувань, обмеження, властиві внутрішньому контролю, а також через те, що більшість доказів, доступних аудитору, є швидше переконливими, ніж остаточними. Внаслідок властивих для аудиту обмежень існує неминучий ризик того, що деякі суттєві викривлення можуть бути не виявлені, навіть якщо аудит належно спланований і виконаний відповідно до вимог МСА. </w:t>
      </w:r>
    </w:p>
    <w:p w:rsidR="00000000" w:rsidDel="00000000" w:rsidP="00000000" w:rsidRDefault="00000000" w:rsidRPr="00000000" w14:paraId="00000058">
      <w:pPr>
        <w:spacing w:line="276" w:lineRule="auto"/>
        <w:ind w:firstLine="567"/>
        <w:jc w:val="both"/>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59">
      <w:pPr>
        <w:spacing w:line="276"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Інші питання, які вимагаються частиною 3 статті 127 Закону України “</w:t>
      </w:r>
      <w:r w:rsidDel="00000000" w:rsidR="00000000" w:rsidRPr="00000000">
        <w:rPr>
          <w:rFonts w:ascii="Times New Roman" w:cs="Times New Roman" w:eastAsia="Times New Roman" w:hAnsi="Times New Roman"/>
          <w:b w:val="1"/>
          <w:bCs w:val="1"/>
          <w:color w:val="00000a"/>
          <w:rtl w:val="0"/>
        </w:rPr>
        <w:t xml:space="preserve">Про ринки капіталу та організовані товарні ринки</w:t>
      </w:r>
      <w:r w:rsidDel="00000000" w:rsidR="00000000" w:rsidRPr="00000000">
        <w:rPr>
          <w:rFonts w:ascii="Times New Roman" w:cs="Times New Roman" w:eastAsia="Times New Roman" w:hAnsi="Times New Roman"/>
          <w:b w:val="1"/>
          <w:bCs w:val="1"/>
          <w:rtl w:val="0"/>
        </w:rPr>
        <w:t xml:space="preserve">” від 23.02.2006 № 3480-ІV</w:t>
      </w:r>
      <w:r w:rsidDel="00000000" w:rsidR="00000000" w:rsidRPr="00000000">
        <w:rPr>
          <w:rtl w:val="0"/>
        </w:rPr>
      </w:r>
    </w:p>
    <w:p w:rsidR="00000000" w:rsidDel="00000000" w:rsidP="00000000" w:rsidRDefault="00000000" w:rsidRPr="00000000" w14:paraId="0000005A">
      <w:pPr>
        <w:spacing w:line="276" w:lineRule="auto"/>
        <w:ind w:firstLine="566.9291338582675"/>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Наша перевірка Звіту про корпоративне управління, що включається до складу [101608] Звіту керівництва (для емітентів цінних паперів) за 2025 рік та подається на основі таксономії за міжнародними стандартами разом з фінансовою звітністю, полягає в розгляді того, чи не суперечить інформація у ньому фінансовій звітності Компанії, що підлягала аудиту, та чи підготовлено Звіт про корпоративне управління відповідно до вимог частини 3 статті 127 Закону п</w:t>
      </w:r>
      <w:r w:rsidDel="00000000" w:rsidR="00000000" w:rsidRPr="00000000">
        <w:rPr>
          <w:rFonts w:ascii="Times New Roman" w:cs="Times New Roman" w:eastAsia="Times New Roman" w:hAnsi="Times New Roman"/>
          <w:color w:val="00000a"/>
          <w:rtl w:val="0"/>
        </w:rPr>
        <w:t xml:space="preserve">ро ринки капіталу та організовані товарні ринки</w:t>
      </w:r>
      <w:r w:rsidDel="00000000" w:rsidR="00000000" w:rsidRPr="00000000">
        <w:rPr>
          <w:rFonts w:ascii="Times New Roman" w:cs="Times New Roman" w:eastAsia="Times New Roman" w:hAnsi="Times New Roman"/>
          <w:rtl w:val="0"/>
        </w:rPr>
        <w:t xml:space="preserve">. Ґрунтуючись на результатах проведеної в ході аудиту роботи з урахуванням сформованих в процесі аудиту знань і розуміння діяльності Компанії та умов її роботи, в усіх суттєвих аспектах:</w:t>
      </w:r>
    </w:p>
    <w:p w:rsidR="00000000" w:rsidDel="00000000" w:rsidP="00000000" w:rsidRDefault="00000000" w:rsidRPr="00000000" w14:paraId="0000005B">
      <w:pPr>
        <w:spacing w:line="276" w:lineRule="auto"/>
        <w:ind w:firstLine="566.9291338582675"/>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інформація у Звіті про корпоративне управління, що вимагається пунктами 1-4 частини 3 статті 127 Закону п</w:t>
      </w:r>
      <w:r w:rsidDel="00000000" w:rsidR="00000000" w:rsidRPr="00000000">
        <w:rPr>
          <w:rFonts w:ascii="Times New Roman" w:cs="Times New Roman" w:eastAsia="Times New Roman" w:hAnsi="Times New Roman"/>
          <w:color w:val="00000a"/>
          <w:rtl w:val="0"/>
        </w:rPr>
        <w:t xml:space="preserve">ро ринки капіталу та організовані товарні ринки</w:t>
      </w:r>
      <w:r w:rsidDel="00000000" w:rsidR="00000000" w:rsidRPr="00000000">
        <w:rPr>
          <w:rFonts w:ascii="Times New Roman" w:cs="Times New Roman" w:eastAsia="Times New Roman" w:hAnsi="Times New Roman"/>
          <w:rtl w:val="0"/>
        </w:rPr>
        <w:t xml:space="preserve">, була підготовлена відповідно до вимог Закону п</w:t>
      </w:r>
      <w:r w:rsidDel="00000000" w:rsidR="00000000" w:rsidRPr="00000000">
        <w:rPr>
          <w:rFonts w:ascii="Times New Roman" w:cs="Times New Roman" w:eastAsia="Times New Roman" w:hAnsi="Times New Roman"/>
          <w:color w:val="00000a"/>
          <w:rtl w:val="0"/>
        </w:rPr>
        <w:t xml:space="preserve">ро ринки капіталу та організовані товарні ринки</w:t>
      </w:r>
      <w:r w:rsidDel="00000000" w:rsidR="00000000" w:rsidRPr="00000000">
        <w:rPr>
          <w:rFonts w:ascii="Times New Roman" w:cs="Times New Roman" w:eastAsia="Times New Roman" w:hAnsi="Times New Roman"/>
          <w:rtl w:val="0"/>
        </w:rPr>
        <w:t xml:space="preserve"> та узгоджується з фінансовою звітністю;</w:t>
      </w:r>
    </w:p>
    <w:p w:rsidR="00000000" w:rsidDel="00000000" w:rsidP="00000000" w:rsidRDefault="00000000" w:rsidRPr="00000000" w14:paraId="0000005C">
      <w:pPr>
        <w:spacing w:line="276" w:lineRule="auto"/>
        <w:ind w:firstLine="566.9291338582675"/>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на нашу думку, Звіт про корпоративне управління містить всю інформацію, яка вимагається пунктами 5-9 частини 3 статті 127 Закону п</w:t>
      </w:r>
      <w:r w:rsidDel="00000000" w:rsidR="00000000" w:rsidRPr="00000000">
        <w:rPr>
          <w:rFonts w:ascii="Times New Roman" w:cs="Times New Roman" w:eastAsia="Times New Roman" w:hAnsi="Times New Roman"/>
          <w:color w:val="00000a"/>
          <w:rtl w:val="0"/>
        </w:rPr>
        <w:t xml:space="preserve">ро ринки капіталу та організовані товарні ринки</w:t>
      </w:r>
      <w:r w:rsidDel="00000000" w:rsidR="00000000" w:rsidRPr="00000000">
        <w:rPr>
          <w:rFonts w:ascii="Times New Roman" w:cs="Times New Roman" w:eastAsia="Times New Roman" w:hAnsi="Times New Roman"/>
          <w:rtl w:val="0"/>
        </w:rPr>
        <w:t xml:space="preserve"> та не суперечить інформації, отриманій нами під час аудиту фінансової звітності Компанії.</w:t>
      </w:r>
      <w:r w:rsidDel="00000000" w:rsidR="00000000" w:rsidRPr="00000000">
        <w:rPr>
          <w:rtl w:val="0"/>
        </w:rPr>
      </w:r>
    </w:p>
    <w:p w:rsidR="00000000" w:rsidDel="00000000" w:rsidP="00000000" w:rsidRDefault="00000000" w:rsidRPr="00000000" w14:paraId="0000005D">
      <w:pPr>
        <w:spacing w:line="276" w:lineRule="auto"/>
        <w:ind w:firstLine="567"/>
        <w:jc w:val="both"/>
        <w:rPr>
          <w:rFonts w:ascii="Times New Roman" w:cs="Times New Roman" w:eastAsia="Times New Roman" w:hAnsi="Times New Roman"/>
          <w:b w:val="1"/>
          <w:bCs w:val="1"/>
          <w:color w:val="00000a"/>
          <w:sz w:val="16"/>
          <w:szCs w:val="16"/>
        </w:rPr>
      </w:pPr>
      <w:r w:rsidDel="00000000" w:rsidR="00000000" w:rsidRPr="00000000">
        <w:rPr>
          <w:rtl w:val="0"/>
        </w:rPr>
      </w:r>
    </w:p>
    <w:p w:rsidR="00000000" w:rsidDel="00000000" w:rsidP="00000000" w:rsidRDefault="00000000" w:rsidRPr="00000000" w14:paraId="0000005E">
      <w:pPr>
        <w:spacing w:after="57" w:before="57" w:line="295" w:lineRule="auto"/>
        <w:ind w:firstLine="567"/>
        <w:jc w:val="both"/>
        <w:rPr>
          <w:rFonts w:ascii="Times New Roman" w:cs="Times New Roman" w:eastAsia="Times New Roman" w:hAnsi="Times New Roman"/>
          <w:b w:val="1"/>
          <w:bCs w:val="1"/>
          <w:color w:val="00000a"/>
        </w:rPr>
      </w:pPr>
      <w:r w:rsidDel="00000000" w:rsidR="00000000" w:rsidRPr="00000000">
        <w:rPr>
          <w:rFonts w:ascii="Times New Roman" w:cs="Times New Roman" w:eastAsia="Times New Roman" w:hAnsi="Times New Roman"/>
          <w:b w:val="1"/>
          <w:bCs w:val="1"/>
          <w:color w:val="00000a"/>
          <w:rtl w:val="0"/>
        </w:rPr>
        <w:t xml:space="preserve">Додаткова інформація, яка надається відповідно до Рішення Національної комісії з цінних паперів та фондового ринку “Про затвердження Вимог до інформації, що має міститися в аудиторському звіті щодо річної фінансової звітності, звіті щодо огляду проміжної фінансової інформації та звіті з надання впевненості, що не є аудитом чи оглядом історичної фінансової інформації” від 22.07.2021 № 555</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tabs>
          <w:tab w:val="left" w:leader="none" w:pos="561.0000000000001"/>
        </w:tabs>
        <w:spacing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Інформація про суб’єкта аудиторської діяльності та умови договору:</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tabs>
          <w:tab w:val="left" w:leader="none" w:pos="0"/>
        </w:tabs>
        <w:spacing w:before="240" w:line="295" w:lineRule="auto"/>
        <w:jc w:val="center"/>
        <w:rPr>
          <w:rFonts w:ascii="Times New Roman" w:cs="Times New Roman" w:eastAsia="Times New Roman" w:hAnsi="Times New Roman"/>
          <w:b w:val="1"/>
          <w:bCs w:val="1"/>
          <w:sz w:val="2"/>
          <w:szCs w:val="2"/>
        </w:rPr>
      </w:pPr>
      <w:r w:rsidDel="00000000" w:rsidR="00000000" w:rsidRPr="00000000">
        <w:rPr>
          <w:rtl w:val="0"/>
        </w:rPr>
      </w:r>
    </w:p>
    <w:sdt>
      <w:sdtPr>
        <w:lock w:val="contentLocked"/>
        <w:id w:val="-2063900870"/>
        <w:tag w:val="goog_rdk_0"/>
      </w:sdtPr>
      <w:sdtContent>
        <w:tbl>
          <w:tblPr>
            <w:tblStyle w:val="Table2"/>
            <w:tblW w:w="1021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40"/>
            <w:gridCol w:w="4935"/>
            <w:gridCol w:w="4740"/>
            <w:tblGridChange w:id="0">
              <w:tblGrid>
                <w:gridCol w:w="540"/>
                <w:gridCol w:w="4935"/>
                <w:gridCol w:w="4740"/>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61">
                <w:pPr>
                  <w:widowControl w:val="0"/>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 з/п</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62">
                <w:pPr>
                  <w:widowControl w:val="0"/>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Найменування інформації</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63">
                <w:pPr>
                  <w:widowControl w:val="0"/>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Дані для заповнення</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Ідентифікаційний код юридичної особи суб’єкта аудиторської діяльності</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sz w:val="22"/>
                    <w:szCs w:val="22"/>
                    <w:rtl w:val="0"/>
                  </w:rPr>
                  <w:t xml:space="preserve">22675684</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Вебсайт суб’єкта аудиторської діяльності</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sz w:val="22"/>
                    <w:szCs w:val="22"/>
                    <w:rtl w:val="0"/>
                  </w:rPr>
                  <w:t xml:space="preserve">https://azimut-audit.com.ua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Дата та номер договору на проведення аудиту / огляду та / або виконання завдання з надання обґрунтованої впевненості</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spacing w:after="57" w:before="57" w:line="295"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sz w:val="22"/>
                    <w:szCs w:val="22"/>
                    <w:rtl w:val="0"/>
                  </w:rPr>
                  <w:t xml:space="preserve">№ 17/1-25 від 17 листопада 2025 року</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Дата початку та дата закінчення проведення аудиту / огляду та / або виконання завдання з надання обґрунтованої впевненості</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spacing w:after="57" w:before="57" w:line="295"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sz w:val="22"/>
                    <w:szCs w:val="22"/>
                    <w:rtl w:val="0"/>
                  </w:rPr>
                  <w:t xml:space="preserve">з 17 листопада 2025 року до 21 квітня 2026 року</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Обов’язковий аудит фінансової звітності (зазначити так / ні)</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Так</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tabs>
                    <w:tab w:val="left" w:leader="none" w:pos="0"/>
                  </w:tabs>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Завдання з надання обґрунтованої впевненості (зазначити так / ні)</w:t>
                  <w:tab/>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Ні</w:t>
                </w:r>
              </w:p>
            </w:tc>
          </w:tr>
        </w:tbl>
      </w:sdtContent>
    </w:sdt>
    <w:p w:rsidR="00000000" w:rsidDel="00000000" w:rsidP="00000000" w:rsidRDefault="00000000" w:rsidRPr="00000000" w14:paraId="00000076">
      <w:pPr>
        <w:tabs>
          <w:tab w:val="left" w:leader="none" w:pos="0"/>
        </w:tabs>
        <w:spacing w:after="57" w:before="57" w:line="295" w:lineRule="auto"/>
        <w:ind w:firstLine="567"/>
        <w:jc w:val="both"/>
        <w:rPr>
          <w:rFonts w:ascii="Times New Roman" w:cs="Times New Roman" w:eastAsia="Times New Roman" w:hAnsi="Times New Roman"/>
          <w:strike w:val="1"/>
          <w:sz w:val="10"/>
          <w:szCs w:val="10"/>
        </w:rPr>
      </w:pPr>
      <w:r w:rsidDel="00000000" w:rsidR="00000000" w:rsidRPr="00000000">
        <w:rPr>
          <w:rtl w:val="0"/>
        </w:rPr>
      </w:r>
    </w:p>
    <w:p w:rsidR="00000000" w:rsidDel="00000000" w:rsidP="00000000" w:rsidRDefault="00000000" w:rsidRPr="00000000" w14:paraId="00000077">
      <w:pPr>
        <w:tabs>
          <w:tab w:val="left" w:leader="none" w:pos="0"/>
        </w:tabs>
        <w:spacing w:after="57" w:before="57" w:line="295"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 основі виконаних процедур та отриманих доказів ніщо не привернуло нашої уваги, що б змусило нас вважати, що Компанія не дотрималася в усіх суттєвих аспектах на дату аудиту вимог Положення про форму та зміст структури власності, затвердженого наказом Міністерства фінансів України від 19.03.2021 № 163, щодо повного розкриття юридичною особою інформації про кінцевого бенефіціарного власника та структуру власності. </w:t>
      </w:r>
    </w:p>
    <w:p w:rsidR="00000000" w:rsidDel="00000000" w:rsidP="00000000" w:rsidRDefault="00000000" w:rsidRPr="00000000" w14:paraId="00000078">
      <w:pPr>
        <w:tabs>
          <w:tab w:val="left" w:leader="none" w:pos="0"/>
        </w:tabs>
        <w:spacing w:after="57" w:before="57" w:line="295"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Компанія є підприємством, що становить суспільний інтерес, відповідно до Закону про бухгалтерський облік та фінансову звітність. Компанія не є контролером або учасником небанківської фінансової групи. Компанія не має материнських/дочірніх компаній.</w:t>
      </w:r>
    </w:p>
    <w:p w:rsidR="00000000" w:rsidDel="00000000" w:rsidP="00000000" w:rsidRDefault="00000000" w:rsidRPr="00000000" w14:paraId="00000079">
      <w:pPr>
        <w:tabs>
          <w:tab w:val="left" w:leader="none" w:pos="0"/>
        </w:tabs>
        <w:spacing w:after="57" w:before="57" w:line="295" w:lineRule="auto"/>
        <w:ind w:firstLine="567"/>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A">
      <w:pPr>
        <w:tabs>
          <w:tab w:val="left" w:leader="none" w:pos="0"/>
        </w:tabs>
        <w:spacing w:line="276" w:lineRule="auto"/>
        <w:ind w:firstLine="567"/>
        <w:jc w:val="both"/>
        <w:rPr>
          <w:rFonts w:ascii="Times New Roman" w:cs="Times New Roman" w:eastAsia="Times New Roman" w:hAnsi="Times New Roman"/>
          <w:sz w:val="12"/>
          <w:szCs w:val="12"/>
        </w:rPr>
      </w:pPr>
      <w:r w:rsidDel="00000000" w:rsidR="00000000" w:rsidRPr="00000000">
        <w:rPr>
          <w:rtl w:val="0"/>
        </w:rPr>
      </w:r>
    </w:p>
    <w:p w:rsidR="00000000" w:rsidDel="00000000" w:rsidP="00000000" w:rsidRDefault="00000000" w:rsidRPr="00000000" w14:paraId="0000007B">
      <w:pPr>
        <w:spacing w:line="24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Партнером із завдання з аудиту (ключовим партнером з аудиту), результатом якого є цей звіт незалежного аудитора, є Бакунова Євгенія Віталіївна.</w:t>
      </w:r>
    </w:p>
    <w:p w:rsidR="00000000" w:rsidDel="00000000" w:rsidP="00000000" w:rsidRDefault="00000000" w:rsidRPr="00000000" w14:paraId="0000007C">
      <w:pPr>
        <w:spacing w:line="240" w:lineRule="auto"/>
        <w:ind w:firstLine="567"/>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7D">
      <w:pPr>
        <w:spacing w:line="240" w:lineRule="auto"/>
        <w:ind w:left="57" w:firstLine="567"/>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Ключовий партнер з аудиту</w:t>
        <w:tab/>
        <w:tab/>
        <w:tab/>
        <w:tab/>
        <w:tab/>
        <w:tab/>
        <w:t xml:space="preserve">Євгенія БАКУНОВА</w:t>
      </w:r>
    </w:p>
    <w:p w:rsidR="00000000" w:rsidDel="00000000" w:rsidP="00000000" w:rsidRDefault="00000000" w:rsidRPr="00000000" w14:paraId="0000007E">
      <w:pPr>
        <w:spacing w:line="240" w:lineRule="auto"/>
        <w:ind w:left="57" w:firstLine="56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Номер реєстрації аудитора у Реєстрі аудиторів</w:t>
      </w:r>
    </w:p>
    <w:p w:rsidR="00000000" w:rsidDel="00000000" w:rsidP="00000000" w:rsidRDefault="00000000" w:rsidRPr="00000000" w14:paraId="0000007F">
      <w:pPr>
        <w:spacing w:line="240" w:lineRule="auto"/>
        <w:ind w:left="57" w:firstLine="56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та суб'єктів аудиторської діяльності: 101702 </w:t>
      </w:r>
    </w:p>
    <w:p w:rsidR="00000000" w:rsidDel="00000000" w:rsidP="00000000" w:rsidRDefault="00000000" w:rsidRPr="00000000" w14:paraId="00000080">
      <w:pPr>
        <w:spacing w:line="240" w:lineRule="auto"/>
        <w:ind w:left="57" w:firstLine="567"/>
        <w:rPr>
          <w:rFonts w:ascii="Times New Roman" w:cs="Times New Roman" w:eastAsia="Times New Roman" w:hAnsi="Times New Roman"/>
          <w:sz w:val="12"/>
          <w:szCs w:val="12"/>
        </w:rPr>
      </w:pPr>
      <w:r w:rsidDel="00000000" w:rsidR="00000000" w:rsidRPr="00000000">
        <w:rPr>
          <w:rtl w:val="0"/>
        </w:rPr>
      </w:r>
    </w:p>
    <w:p w:rsidR="00000000" w:rsidDel="00000000" w:rsidP="00000000" w:rsidRDefault="00000000" w:rsidRPr="00000000" w14:paraId="00000081">
      <w:pPr>
        <w:spacing w:line="240" w:lineRule="auto"/>
        <w:ind w:left="57" w:firstLine="567"/>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Основні відомості про аудиторську фірму</w:t>
      </w:r>
    </w:p>
    <w:p w:rsidR="00000000" w:rsidDel="00000000" w:rsidP="00000000" w:rsidRDefault="00000000" w:rsidRPr="00000000" w14:paraId="00000082">
      <w:pPr>
        <w:spacing w:line="240" w:lineRule="auto"/>
        <w:ind w:left="57" w:firstLine="567"/>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Аудиторська фірма у формі Товариства з обмеженою відповідальністю “Азимут”</w:t>
      </w:r>
    </w:p>
    <w:p w:rsidR="00000000" w:rsidDel="00000000" w:rsidP="00000000" w:rsidRDefault="00000000" w:rsidRPr="00000000" w14:paraId="00000083">
      <w:pPr>
        <w:spacing w:line="240" w:lineRule="auto"/>
        <w:ind w:left="57" w:firstLine="567"/>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Код ЄДРПОУ: </w:t>
      </w:r>
      <w:r w:rsidDel="00000000" w:rsidR="00000000" w:rsidRPr="00000000">
        <w:rPr>
          <w:rFonts w:ascii="Times New Roman" w:cs="Times New Roman" w:eastAsia="Times New Roman" w:hAnsi="Times New Roman"/>
          <w:color w:val="000000"/>
          <w:sz w:val="22"/>
          <w:szCs w:val="22"/>
          <w:rtl w:val="0"/>
        </w:rPr>
        <w:t xml:space="preserve">22675684</w:t>
      </w: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2"/>
          <w:szCs w:val="22"/>
          <w:u w:val="none"/>
          <w:shd w:fill="auto" w:val="clear"/>
          <w:vertAlign w:val="baseline"/>
          <w:rtl w:val="0"/>
        </w:rPr>
        <w:t xml:space="preserve"> Місцезнаходження: 61072, м.Харків, вул.Вартових Неба 42А</w:t>
      </w:r>
      <w:r w:rsidDel="00000000" w:rsidR="00000000" w:rsidRPr="00000000">
        <w:rPr>
          <w:rtl w:val="0"/>
        </w:rPr>
      </w:r>
    </w:p>
    <w:p w:rsidR="00000000" w:rsidDel="00000000" w:rsidP="00000000" w:rsidRDefault="00000000" w:rsidRPr="00000000" w14:paraId="00000085">
      <w:pPr>
        <w:spacing w:line="240" w:lineRule="auto"/>
        <w:ind w:left="57" w:firstLine="567"/>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Вебсторінка: https://azimut-audit.com.ua</w:t>
      </w:r>
    </w:p>
    <w:p w:rsidR="00000000" w:rsidDel="00000000" w:rsidP="00000000" w:rsidRDefault="00000000" w:rsidRPr="00000000" w14:paraId="00000086">
      <w:pPr>
        <w:spacing w:line="240" w:lineRule="auto"/>
        <w:ind w:left="57" w:firstLine="567"/>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Номер реєстрації у Реєстрі аудиторів та суб'єктів аудиторської діяльності: 0376</w:t>
      </w:r>
    </w:p>
    <w:p w:rsidR="00000000" w:rsidDel="00000000" w:rsidP="00000000" w:rsidRDefault="00000000" w:rsidRPr="00000000" w14:paraId="00000087">
      <w:pPr>
        <w:spacing w:after="114" w:before="114" w:line="240" w:lineRule="auto"/>
        <w:ind w:left="57" w:firstLine="567"/>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квітня 2026 р.</w:t>
      </w:r>
    </w:p>
    <w:sectPr>
      <w:headerReference r:id="rId9" w:type="default"/>
      <w:pgSz w:h="15840" w:w="12240" w:orient="portrait"/>
      <w:pgMar w:bottom="792" w:top="1044" w:left="1200" w:right="951" w:header="588"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Liberation Serif"/>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tabs>
        <w:tab w:val="center" w:leader="none" w:pos="4957"/>
        <w:tab w:val="right" w:leader="none" w:pos="9915"/>
      </w:tabs>
      <w:spacing w:line="240" w:lineRule="auto"/>
      <w:jc w:val="right"/>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uk"/>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Liberation Serif" w:cs="Liberation Serif" w:eastAsia="Liberation Serif" w:hAnsi="Liberation Serif"/>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Liberation Serif" w:cs="Liberation Serif" w:eastAsia="Liberation Serif" w:hAnsi="Liberation Serif"/>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Liberation Serif" w:cs="Liberation Serif" w:eastAsia="Liberation Serif" w:hAnsi="Liberation Serif"/>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Liberation Serif" w:cs="Liberation Serif" w:eastAsia="Liberation Serif" w:hAnsi="Liberation Serif"/>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Liberation Serif" w:cs="Liberation Serif" w:eastAsia="Liberation Serif" w:hAnsi="Liberation Serif"/>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Liberation Serif" w:cs="Liberation Serif" w:eastAsia="Liberation Serif" w:hAnsi="Liberation Serif"/>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pPr>
    <w:rPr>
      <w:rFonts w:ascii="Liberation Serif" w:cs="Liberation Serif" w:eastAsia="Liberation Serif" w:hAnsi="Liberation Serif"/>
      <w:b w:val="0"/>
      <w:bCs w:val="0"/>
      <w:i w:val="1"/>
      <w:iCs w:val="1"/>
      <w:smallCaps w:val="0"/>
      <w:strike w:val="0"/>
      <w:color w:val="000000"/>
      <w:sz w:val="24"/>
      <w:szCs w:val="24"/>
      <w:u w:val="none"/>
      <w:shd w:fill="auto" w:val="clear"/>
      <w:vertAlign w:val="baseline"/>
    </w:rPr>
  </w:style>
  <w:style w:type="character" w:styleId="DefaultParagraphFont" w:default="1">
    <w:name w:val="Default Paragraph Font"/>
    <w:uiPriority w:val="99"/>
    <w:semiHidden w:val="1"/>
    <w:qFormat w:val="1"/>
    <w:rPr/>
  </w:style>
  <w:style w:type="character" w:styleId="Heading1Char" w:customStyle="1">
    <w:name w:val="Heading 1 Char"/>
    <w:basedOn w:val="DefaultParagraphFont"/>
    <w:uiPriority w:val="9"/>
    <w:qFormat w:val="1"/>
    <w:rsid w:val="006B75A8"/>
    <w:rPr>
      <w:rFonts w:ascii="Cambria" w:cs="Mangal" w:eastAsia="" w:hAnsi="Cambria" w:asciiTheme="majorHAnsi" w:eastAsiaTheme="majorEastAsia" w:hAnsiTheme="majorHAnsi"/>
      <w:b w:val="1"/>
      <w:bCs w:val="1"/>
      <w:kern w:val="2"/>
      <w:sz w:val="32"/>
      <w:szCs w:val="29"/>
      <w:lang w:bidi="hi-IN" w:eastAsia="zh-CN"/>
    </w:rPr>
  </w:style>
  <w:style w:type="character" w:styleId="Heading2Char" w:customStyle="1">
    <w:name w:val="Heading 2 Char"/>
    <w:basedOn w:val="DefaultParagraphFont"/>
    <w:uiPriority w:val="9"/>
    <w:semiHidden w:val="1"/>
    <w:qFormat w:val="1"/>
    <w:rsid w:val="006B75A8"/>
    <w:rPr>
      <w:rFonts w:ascii="Cambria" w:cs="Mangal" w:eastAsia="" w:hAnsi="Cambria" w:asciiTheme="majorHAnsi" w:eastAsiaTheme="majorEastAsia" w:hAnsiTheme="majorHAnsi"/>
      <w:b w:val="1"/>
      <w:bCs w:val="1"/>
      <w:i w:val="1"/>
      <w:iCs w:val="1"/>
      <w:kern w:val="2"/>
      <w:sz w:val="28"/>
      <w:szCs w:val="25"/>
      <w:lang w:bidi="hi-IN" w:eastAsia="zh-CN"/>
    </w:rPr>
  </w:style>
  <w:style w:type="character" w:styleId="Heading3Char" w:customStyle="1">
    <w:name w:val="Heading 3 Char"/>
    <w:basedOn w:val="DefaultParagraphFont"/>
    <w:uiPriority w:val="9"/>
    <w:semiHidden w:val="1"/>
    <w:qFormat w:val="1"/>
    <w:rsid w:val="006B75A8"/>
    <w:rPr>
      <w:rFonts w:ascii="Cambria" w:cs="Mangal" w:eastAsia="" w:hAnsi="Cambria" w:asciiTheme="majorHAnsi" w:eastAsiaTheme="majorEastAsia" w:hAnsiTheme="majorHAnsi"/>
      <w:b w:val="1"/>
      <w:bCs w:val="1"/>
      <w:kern w:val="2"/>
      <w:sz w:val="26"/>
      <w:szCs w:val="23"/>
      <w:lang w:bidi="hi-IN" w:eastAsia="zh-CN"/>
    </w:rPr>
  </w:style>
  <w:style w:type="character" w:styleId="Heading4Char" w:customStyle="1">
    <w:name w:val="Heading 4 Char"/>
    <w:basedOn w:val="DefaultParagraphFont"/>
    <w:uiPriority w:val="9"/>
    <w:semiHidden w:val="1"/>
    <w:qFormat w:val="1"/>
    <w:rsid w:val="006B75A8"/>
    <w:rPr>
      <w:rFonts w:ascii="Calibri" w:cs="Mangal" w:eastAsia="" w:hAnsi="Calibri" w:asciiTheme="minorHAnsi" w:eastAsiaTheme="minorEastAsia" w:hAnsiTheme="minorHAnsi"/>
      <w:b w:val="1"/>
      <w:bCs w:val="1"/>
      <w:kern w:val="2"/>
      <w:sz w:val="28"/>
      <w:szCs w:val="25"/>
      <w:lang w:bidi="hi-IN" w:eastAsia="zh-CN"/>
    </w:rPr>
  </w:style>
  <w:style w:type="character" w:styleId="Heading5Char" w:customStyle="1">
    <w:name w:val="Heading 5 Char"/>
    <w:basedOn w:val="DefaultParagraphFont"/>
    <w:uiPriority w:val="9"/>
    <w:semiHidden w:val="1"/>
    <w:qFormat w:val="1"/>
    <w:rsid w:val="006B75A8"/>
    <w:rPr>
      <w:rFonts w:ascii="Calibri" w:cs="Mangal" w:eastAsia="" w:hAnsi="Calibri" w:asciiTheme="minorHAnsi" w:eastAsiaTheme="minorEastAsia" w:hAnsiTheme="minorHAnsi"/>
      <w:b w:val="1"/>
      <w:bCs w:val="1"/>
      <w:i w:val="1"/>
      <w:iCs w:val="1"/>
      <w:kern w:val="2"/>
      <w:sz w:val="26"/>
      <w:szCs w:val="23"/>
      <w:lang w:bidi="hi-IN" w:eastAsia="zh-CN"/>
    </w:rPr>
  </w:style>
  <w:style w:type="character" w:styleId="Heading6Char" w:customStyle="1">
    <w:name w:val="Heading 6 Char"/>
    <w:basedOn w:val="DefaultParagraphFont"/>
    <w:uiPriority w:val="9"/>
    <w:semiHidden w:val="1"/>
    <w:qFormat w:val="1"/>
    <w:rsid w:val="006B75A8"/>
    <w:rPr>
      <w:rFonts w:ascii="Calibri" w:cs="Mangal" w:eastAsia="" w:hAnsi="Calibri" w:asciiTheme="minorHAnsi" w:eastAsiaTheme="minorEastAsia" w:hAnsiTheme="minorHAnsi"/>
      <w:b w:val="1"/>
      <w:bCs w:val="1"/>
      <w:kern w:val="2"/>
      <w:szCs w:val="20"/>
      <w:lang w:bidi="hi-IN" w:eastAsia="zh-CN"/>
    </w:rPr>
  </w:style>
  <w:style w:type="character" w:styleId="WW8Num1z0" w:customStyle="1">
    <w:name w:val="WW8Num1z0"/>
    <w:uiPriority w:val="99"/>
    <w:qFormat w:val="1"/>
    <w:rsid w:val="000D0FFA"/>
    <w:rPr>
      <w:rFonts w:ascii="Symbol" w:hAnsi="Symbol"/>
      <w:w w:val="100"/>
      <w:position w:val="0"/>
      <w:sz w:val="24"/>
      <w:effect w:val="none"/>
      <w:vertAlign w:val="baseline"/>
      <w:em w:val="none"/>
      <w:lang w:bidi="ar-SA" w:eastAsia="ar-SA" w:val="uk-UA"/>
    </w:rPr>
  </w:style>
  <w:style w:type="character" w:styleId="WW8Num1z1" w:customStyle="1">
    <w:name w:val="WW8Num1z1"/>
    <w:uiPriority w:val="99"/>
    <w:qFormat w:val="1"/>
    <w:rsid w:val="000D0FFA"/>
    <w:rPr>
      <w:rFonts w:ascii="OpenSymbol" w:hAnsi="OpenSymbol"/>
      <w:w w:val="100"/>
      <w:position w:val="0"/>
      <w:sz w:val="24"/>
      <w:effect w:val="none"/>
      <w:vertAlign w:val="baseline"/>
      <w:em w:val="none"/>
    </w:rPr>
  </w:style>
  <w:style w:type="character" w:styleId="WW8Num2z0" w:customStyle="1">
    <w:name w:val="WW8Num2z0"/>
    <w:uiPriority w:val="99"/>
    <w:qFormat w:val="1"/>
    <w:rsid w:val="000D0FFA"/>
    <w:rPr>
      <w:w w:val="100"/>
      <w:position w:val="0"/>
      <w:sz w:val="24"/>
      <w:effect w:val="none"/>
      <w:vertAlign w:val="baseline"/>
      <w:em w:val="none"/>
    </w:rPr>
  </w:style>
  <w:style w:type="character" w:styleId="WW8Num2z1" w:customStyle="1">
    <w:name w:val="WW8Num2z1"/>
    <w:uiPriority w:val="99"/>
    <w:qFormat w:val="1"/>
    <w:rsid w:val="000D0FFA"/>
    <w:rPr>
      <w:w w:val="100"/>
      <w:position w:val="0"/>
      <w:sz w:val="24"/>
      <w:effect w:val="none"/>
      <w:vertAlign w:val="baseline"/>
      <w:em w:val="none"/>
    </w:rPr>
  </w:style>
  <w:style w:type="character" w:styleId="WW8Num2z2" w:customStyle="1">
    <w:name w:val="WW8Num2z2"/>
    <w:uiPriority w:val="99"/>
    <w:qFormat w:val="1"/>
    <w:rsid w:val="000D0FFA"/>
    <w:rPr>
      <w:w w:val="100"/>
      <w:position w:val="0"/>
      <w:sz w:val="24"/>
      <w:effect w:val="none"/>
      <w:vertAlign w:val="baseline"/>
      <w:em w:val="none"/>
    </w:rPr>
  </w:style>
  <w:style w:type="character" w:styleId="WW8Num2z3" w:customStyle="1">
    <w:name w:val="WW8Num2z3"/>
    <w:uiPriority w:val="99"/>
    <w:qFormat w:val="1"/>
    <w:rsid w:val="000D0FFA"/>
    <w:rPr>
      <w:w w:val="100"/>
      <w:position w:val="0"/>
      <w:sz w:val="24"/>
      <w:effect w:val="none"/>
      <w:vertAlign w:val="baseline"/>
      <w:em w:val="none"/>
    </w:rPr>
  </w:style>
  <w:style w:type="character" w:styleId="WW8Num2z4" w:customStyle="1">
    <w:name w:val="WW8Num2z4"/>
    <w:uiPriority w:val="99"/>
    <w:qFormat w:val="1"/>
    <w:rsid w:val="000D0FFA"/>
    <w:rPr>
      <w:w w:val="100"/>
      <w:position w:val="0"/>
      <w:sz w:val="24"/>
      <w:effect w:val="none"/>
      <w:vertAlign w:val="baseline"/>
      <w:em w:val="none"/>
    </w:rPr>
  </w:style>
  <w:style w:type="character" w:styleId="WW8Num2z5" w:customStyle="1">
    <w:name w:val="WW8Num2z5"/>
    <w:uiPriority w:val="99"/>
    <w:qFormat w:val="1"/>
    <w:rsid w:val="000D0FFA"/>
    <w:rPr>
      <w:w w:val="100"/>
      <w:position w:val="0"/>
      <w:sz w:val="24"/>
      <w:effect w:val="none"/>
      <w:vertAlign w:val="baseline"/>
      <w:em w:val="none"/>
    </w:rPr>
  </w:style>
  <w:style w:type="character" w:styleId="WW8Num2z6" w:customStyle="1">
    <w:name w:val="WW8Num2z6"/>
    <w:uiPriority w:val="99"/>
    <w:qFormat w:val="1"/>
    <w:rsid w:val="000D0FFA"/>
    <w:rPr>
      <w:w w:val="100"/>
      <w:position w:val="0"/>
      <w:sz w:val="24"/>
      <w:effect w:val="none"/>
      <w:vertAlign w:val="baseline"/>
      <w:em w:val="none"/>
    </w:rPr>
  </w:style>
  <w:style w:type="character" w:styleId="WW8Num2z7" w:customStyle="1">
    <w:name w:val="WW8Num2z7"/>
    <w:uiPriority w:val="99"/>
    <w:qFormat w:val="1"/>
    <w:rsid w:val="000D0FFA"/>
    <w:rPr>
      <w:w w:val="100"/>
      <w:position w:val="0"/>
      <w:sz w:val="24"/>
      <w:effect w:val="none"/>
      <w:vertAlign w:val="baseline"/>
      <w:em w:val="none"/>
    </w:rPr>
  </w:style>
  <w:style w:type="character" w:styleId="WW8Num2z8" w:customStyle="1">
    <w:name w:val="WW8Num2z8"/>
    <w:uiPriority w:val="99"/>
    <w:qFormat w:val="1"/>
    <w:rsid w:val="000D0FFA"/>
    <w:rPr>
      <w:w w:val="100"/>
      <w:position w:val="0"/>
      <w:sz w:val="24"/>
      <w:effect w:val="none"/>
      <w:vertAlign w:val="baseline"/>
      <w:em w:val="none"/>
    </w:rPr>
  </w:style>
  <w:style w:type="character" w:styleId="Style8" w:customStyle="1">
    <w:name w:val="Маркеры списка"/>
    <w:uiPriority w:val="99"/>
    <w:qFormat w:val="1"/>
    <w:rsid w:val="000D0FFA"/>
    <w:rPr>
      <w:rFonts w:ascii="OpenSymbol" w:eastAsia="Times New Roman" w:hAnsi="OpenSymbol"/>
      <w:w w:val="100"/>
      <w:position w:val="0"/>
      <w:sz w:val="24"/>
      <w:effect w:val="none"/>
      <w:vertAlign w:val="baseline"/>
      <w:em w:val="none"/>
    </w:rPr>
  </w:style>
  <w:style w:type="character" w:styleId="Tlidtranslation" w:customStyle="1">
    <w:name w:val="tlid-translation"/>
    <w:uiPriority w:val="99"/>
    <w:qFormat w:val="1"/>
    <w:rsid w:val="000D0FFA"/>
    <w:rPr>
      <w:w w:val="100"/>
      <w:position w:val="0"/>
      <w:sz w:val="24"/>
      <w:effect w:val="none"/>
      <w:vertAlign w:val="baseline"/>
      <w:em w:val="none"/>
    </w:rPr>
  </w:style>
  <w:style w:type="character" w:styleId="Style9">
    <w:name w:val="Hyperlink"/>
    <w:basedOn w:val="DefaultParagraphFont"/>
    <w:uiPriority w:val="99"/>
    <w:rsid w:val="000D0FFA"/>
    <w:rPr>
      <w:rFonts w:cs="Times New Roman"/>
      <w:color w:val="0000ff"/>
      <w:w w:val="100"/>
      <w:position w:val="0"/>
      <w:sz w:val="24"/>
      <w:u w:val="single"/>
      <w:effect w:val="none"/>
      <w:vertAlign w:val="baseline"/>
      <w:em w:val="none"/>
    </w:rPr>
  </w:style>
  <w:style w:type="character" w:styleId="Style10">
    <w:name w:val="FollowedHyperlink"/>
    <w:basedOn w:val="DefaultParagraphFont"/>
    <w:uiPriority w:val="99"/>
    <w:rsid w:val="000D0FFA"/>
    <w:rPr>
      <w:rFonts w:cs="Times New Roman"/>
      <w:color w:val="800080"/>
      <w:w w:val="100"/>
      <w:position w:val="0"/>
      <w:sz w:val="24"/>
      <w:u w:val="single"/>
      <w:effect w:val="none"/>
      <w:vertAlign w:val="baseline"/>
      <w:em w:val="none"/>
    </w:rPr>
  </w:style>
  <w:style w:type="character" w:styleId="FontStyle84" w:customStyle="1">
    <w:name w:val="Font Style84"/>
    <w:uiPriority w:val="99"/>
    <w:qFormat w:val="1"/>
    <w:rsid w:val="000D0FFA"/>
    <w:rPr>
      <w:rFonts w:ascii="Garamond" w:hAnsi="Garamond"/>
      <w:color w:val="000000"/>
      <w:w w:val="100"/>
      <w:position w:val="0"/>
      <w:sz w:val="24"/>
      <w:effect w:val="none"/>
      <w:vertAlign w:val="baseline"/>
      <w:em w:val="none"/>
    </w:rPr>
  </w:style>
  <w:style w:type="character" w:styleId="BodyTextChar" w:customStyle="1">
    <w:name w:val="Body Text Char"/>
    <w:basedOn w:val="DefaultParagraphFont"/>
    <w:uiPriority w:val="99"/>
    <w:semiHidden w:val="1"/>
    <w:qFormat w:val="1"/>
    <w:rsid w:val="006B75A8"/>
    <w:rPr>
      <w:rFonts w:cs="Mangal" w:eastAsia="SimSun"/>
      <w:kern w:val="2"/>
      <w:sz w:val="24"/>
      <w:szCs w:val="21"/>
      <w:lang w:bidi="hi-IN" w:eastAsia="zh-CN"/>
    </w:rPr>
  </w:style>
  <w:style w:type="character" w:styleId="TitleChar" w:customStyle="1">
    <w:name w:val="Title Char"/>
    <w:basedOn w:val="DefaultParagraphFont"/>
    <w:uiPriority w:val="10"/>
    <w:qFormat w:val="1"/>
    <w:rsid w:val="006B75A8"/>
    <w:rPr>
      <w:rFonts w:ascii="Cambria" w:cs="Mangal" w:eastAsia="" w:hAnsi="Cambria" w:asciiTheme="majorHAnsi" w:eastAsiaTheme="majorEastAsia" w:hAnsiTheme="majorHAnsi"/>
      <w:b w:val="1"/>
      <w:bCs w:val="1"/>
      <w:kern w:val="2"/>
      <w:sz w:val="32"/>
      <w:szCs w:val="29"/>
      <w:lang w:bidi="hi-IN" w:eastAsia="zh-CN"/>
    </w:rPr>
  </w:style>
  <w:style w:type="character" w:styleId="HeaderChar" w:customStyle="1">
    <w:name w:val="Header Char"/>
    <w:basedOn w:val="DefaultParagraphFont"/>
    <w:uiPriority w:val="99"/>
    <w:semiHidden w:val="1"/>
    <w:qFormat w:val="1"/>
    <w:rsid w:val="006B75A8"/>
    <w:rPr>
      <w:rFonts w:cs="Mangal" w:eastAsia="SimSun"/>
      <w:kern w:val="2"/>
      <w:sz w:val="24"/>
      <w:szCs w:val="21"/>
      <w:lang w:bidi="hi-IN" w:eastAsia="zh-CN"/>
    </w:rPr>
  </w:style>
  <w:style w:type="character" w:styleId="FooterChar" w:customStyle="1">
    <w:name w:val="Footer Char"/>
    <w:basedOn w:val="DefaultParagraphFont"/>
    <w:uiPriority w:val="99"/>
    <w:semiHidden w:val="1"/>
    <w:qFormat w:val="1"/>
    <w:rsid w:val="006B75A8"/>
    <w:rPr>
      <w:rFonts w:cs="Mangal" w:eastAsia="SimSun"/>
      <w:kern w:val="2"/>
      <w:sz w:val="24"/>
      <w:szCs w:val="21"/>
      <w:lang w:bidi="hi-IN" w:eastAsia="zh-CN"/>
    </w:rPr>
  </w:style>
  <w:style w:type="character" w:styleId="SubtitleChar" w:customStyle="1">
    <w:name w:val="Subtitle Char"/>
    <w:basedOn w:val="DefaultParagraphFont"/>
    <w:uiPriority w:val="11"/>
    <w:qFormat w:val="1"/>
    <w:rsid w:val="006B75A8"/>
    <w:rPr>
      <w:rFonts w:ascii="Cambria" w:cs="Mangal" w:eastAsia="" w:hAnsi="Cambria" w:asciiTheme="majorHAnsi" w:eastAsiaTheme="majorEastAsia" w:hAnsiTheme="majorHAnsi"/>
      <w:kern w:val="2"/>
      <w:sz w:val="24"/>
      <w:szCs w:val="21"/>
      <w:lang w:bidi="hi-IN" w:eastAsia="zh-CN"/>
    </w:rPr>
  </w:style>
  <w:style w:type="paragraph" w:styleId="Style11" w:customStyle="1">
    <w:name w:val="Заголовок"/>
    <w:basedOn w:val="LOnormal1"/>
    <w:next w:val="Style12"/>
    <w:uiPriority w:val="99"/>
    <w:qFormat w:val="1"/>
    <w:rsid w:val="000D0FFA"/>
    <w:pPr>
      <w:keepNext w:val="1"/>
      <w:suppressAutoHyphens w:val="0"/>
      <w:overflowPunct w:val="0"/>
      <w:spacing w:after="120" w:before="240" w:line="1" w:lineRule="atLeast"/>
      <w:textAlignment w:val="top"/>
      <w:outlineLvl w:val="0"/>
    </w:pPr>
    <w:rPr>
      <w:rFonts w:ascii="Liberation Sans" w:cs="Mangal" w:eastAsia="Microsoft YaHei" w:hAnsi="Liberation Sans"/>
      <w:kern w:val="2"/>
      <w:sz w:val="28"/>
      <w:szCs w:val="28"/>
      <w:lang w:val="en-US"/>
    </w:rPr>
  </w:style>
  <w:style w:type="paragraph" w:styleId="Style12">
    <w:name w:val="Body Text"/>
    <w:basedOn w:val="LOnormal1"/>
    <w:link w:val="BodyTextChar"/>
    <w:uiPriority w:val="99"/>
    <w:rsid w:val="000D0FFA"/>
    <w:pPr>
      <w:suppressAutoHyphens w:val="0"/>
      <w:overflowPunct w:val="0"/>
      <w:spacing w:after="140" w:before="0" w:line="288" w:lineRule="auto"/>
      <w:textAlignment w:val="top"/>
      <w:outlineLvl w:val="0"/>
    </w:pPr>
    <w:rPr>
      <w:rFonts w:cs="Mangal" w:eastAsia="SimSun"/>
      <w:kern w:val="2"/>
      <w:lang w:val="en-US"/>
    </w:rPr>
  </w:style>
  <w:style w:type="paragraph" w:styleId="Style13">
    <w:name w:val="List"/>
    <w:basedOn w:val="Style12"/>
    <w:uiPriority w:val="99"/>
    <w:rsid w:val="000D0FFA"/>
    <w:pPr/>
    <w:rPr/>
  </w:style>
  <w:style w:type="paragraph" w:styleId="Style14">
    <w:name w:val="Caption"/>
    <w:basedOn w:val="Normal"/>
    <w:qFormat w:val="1"/>
    <w:pPr>
      <w:suppressLineNumbers w:val="1"/>
      <w:spacing w:after="120" w:before="120"/>
    </w:pPr>
    <w:rPr>
      <w:rFonts w:cs="Lucida Sans"/>
      <w:i w:val="1"/>
      <w:iCs w:val="1"/>
      <w:sz w:val="24"/>
      <w:szCs w:val="24"/>
    </w:rPr>
  </w:style>
  <w:style w:type="paragraph" w:styleId="Style15" w:customStyle="1">
    <w:name w:val="Покажчик"/>
    <w:basedOn w:val="LOnormal1"/>
    <w:uiPriority w:val="99"/>
    <w:qFormat w:val="1"/>
    <w:rsid w:val="000D0FFA"/>
    <w:pPr>
      <w:suppressLineNumbers w:val="1"/>
      <w:suppressAutoHyphens w:val="0"/>
      <w:overflowPunct w:val="0"/>
      <w:spacing w:line="1" w:lineRule="atLeast"/>
      <w:textAlignment w:val="top"/>
      <w:outlineLvl w:val="0"/>
    </w:pPr>
    <w:rPr>
      <w:rFonts w:cs="Lucida Sans" w:eastAsia="SimSun"/>
      <w:kern w:val="2"/>
    </w:rPr>
  </w:style>
  <w:style w:type="paragraph" w:styleId="Caption">
    <w:name w:val="caption"/>
    <w:basedOn w:val="LOnormal1"/>
    <w:uiPriority w:val="99"/>
    <w:qFormat w:val="1"/>
    <w:rsid w:val="000D0FFA"/>
    <w:pPr>
      <w:suppressLineNumbers w:val="1"/>
      <w:suppressAutoHyphens w:val="0"/>
      <w:overflowPunct w:val="0"/>
      <w:spacing w:after="120" w:before="120" w:line="1" w:lineRule="atLeast"/>
      <w:textAlignment w:val="top"/>
      <w:outlineLvl w:val="0"/>
    </w:pPr>
    <w:rPr>
      <w:rFonts w:cs="Lucida Sans" w:eastAsia="SimSun"/>
      <w:i w:val="1"/>
      <w:iCs w:val="1"/>
      <w:kern w:val="2"/>
      <w:lang w:val="en-US"/>
    </w:rPr>
  </w:style>
  <w:style w:type="paragraph" w:styleId="LOnormal1" w:customStyle="1">
    <w:name w:val="LO-normal1"/>
    <w:uiPriority w:val="99"/>
    <w:qFormat w:val="1"/>
    <w:rsid w:val="000D0FFA"/>
    <w:pPr>
      <w:widowControl w:val="1"/>
      <w:suppressAutoHyphens w:val="1"/>
      <w:bidi w:val="0"/>
      <w:spacing w:after="0" w:before="0"/>
      <w:jc w:val="left"/>
    </w:pPr>
    <w:rPr>
      <w:rFonts w:ascii="Liberation Serif" w:cs="Liberation Serif" w:eastAsia="Liberation Serif" w:hAnsi="Liberation Serif"/>
      <w:color w:val="auto"/>
      <w:kern w:val="0"/>
      <w:sz w:val="24"/>
      <w:szCs w:val="24"/>
      <w:lang w:bidi="hi-IN" w:eastAsia="zh-CN" w:val="uk-UA"/>
    </w:rPr>
  </w:style>
  <w:style w:type="paragraph" w:styleId="Index1">
    <w:name w:val="index 1"/>
    <w:basedOn w:val="Normal"/>
    <w:next w:val="Normal"/>
    <w:autoRedefine w:val="1"/>
    <w:uiPriority w:val="99"/>
    <w:semiHidden w:val="1"/>
    <w:qFormat w:val="1"/>
    <w:pPr>
      <w:ind w:left="240" w:hanging="240"/>
    </w:pPr>
    <w:rPr/>
  </w:style>
  <w:style w:type="paragraph" w:styleId="Indexheading">
    <w:name w:val="index heading"/>
    <w:basedOn w:val="LOnormal1"/>
    <w:uiPriority w:val="99"/>
    <w:qFormat w:val="1"/>
    <w:rsid w:val="000D0FFA"/>
    <w:pPr>
      <w:suppressLineNumbers w:val="1"/>
      <w:suppressAutoHyphens w:val="0"/>
      <w:overflowPunct w:val="0"/>
      <w:spacing w:line="1" w:lineRule="atLeast"/>
      <w:textAlignment w:val="top"/>
      <w:outlineLvl w:val="0"/>
    </w:pPr>
    <w:rPr>
      <w:rFonts w:cs="Mangal" w:eastAsia="SimSun"/>
      <w:kern w:val="2"/>
      <w:lang w:val="en-US"/>
    </w:rPr>
  </w:style>
  <w:style w:type="paragraph" w:styleId="Style17" w:customStyle="1">
    <w:name w:val="Верхний и нижний колонтитулы"/>
    <w:basedOn w:val="LOnormal1"/>
    <w:uiPriority w:val="99"/>
    <w:qFormat w:val="1"/>
    <w:rsid w:val="000D0FFA"/>
    <w:pPr>
      <w:suppressLineNumbers w:val="1"/>
      <w:tabs>
        <w:tab w:val="clear" w:pos="720"/>
        <w:tab w:val="center" w:leader="none" w:pos="4819"/>
        <w:tab w:val="right" w:leader="none" w:pos="9638"/>
      </w:tabs>
      <w:suppressAutoHyphens w:val="0"/>
      <w:overflowPunct w:val="0"/>
      <w:spacing w:line="1" w:lineRule="atLeast"/>
      <w:textAlignment w:val="top"/>
      <w:outlineLvl w:val="0"/>
    </w:pPr>
    <w:rPr>
      <w:rFonts w:cs="Mangal" w:eastAsia="SimSun"/>
      <w:kern w:val="2"/>
      <w:lang w:val="en-US"/>
    </w:rPr>
  </w:style>
  <w:style w:type="paragraph" w:styleId="Style18" w:customStyle="1">
    <w:name w:val="Верхній і нижній колонтитули"/>
    <w:basedOn w:val="LOnormal1"/>
    <w:uiPriority w:val="99"/>
    <w:qFormat w:val="1"/>
    <w:rsid w:val="000D0FFA"/>
    <w:pPr>
      <w:suppressLineNumbers w:val="1"/>
      <w:tabs>
        <w:tab w:val="clear" w:pos="720"/>
        <w:tab w:val="center" w:leader="none" w:pos="4819"/>
        <w:tab w:val="right" w:leader="none" w:pos="9638"/>
      </w:tabs>
      <w:suppressAutoHyphens w:val="0"/>
      <w:overflowPunct w:val="0"/>
      <w:spacing w:line="1" w:lineRule="atLeast"/>
      <w:textAlignment w:val="top"/>
      <w:outlineLvl w:val="0"/>
    </w:pPr>
    <w:rPr>
      <w:rFonts w:cs="Mangal" w:eastAsia="SimSun"/>
      <w:kern w:val="2"/>
      <w:lang w:val="en-US"/>
    </w:rPr>
  </w:style>
  <w:style w:type="paragraph" w:styleId="Style19">
    <w:name w:val="Header"/>
    <w:basedOn w:val="Normal"/>
    <w:link w:val="HeaderChar"/>
    <w:uiPriority w:val="99"/>
    <w:rsid w:val="000D0FFA"/>
    <w:pPr/>
    <w:rPr/>
  </w:style>
  <w:style w:type="paragraph" w:styleId="Style20" w:customStyle="1">
    <w:name w:val="Содержимое таблицы"/>
    <w:basedOn w:val="LOnormal1"/>
    <w:uiPriority w:val="99"/>
    <w:qFormat w:val="1"/>
    <w:rsid w:val="000D0FFA"/>
    <w:pPr>
      <w:suppressLineNumbers w:val="1"/>
      <w:suppressAutoHyphens w:val="0"/>
      <w:overflowPunct w:val="0"/>
      <w:spacing w:line="1" w:lineRule="atLeast"/>
      <w:textAlignment w:val="top"/>
      <w:outlineLvl w:val="0"/>
    </w:pPr>
    <w:rPr>
      <w:rFonts w:cs="Mangal" w:eastAsia="SimSun"/>
      <w:kern w:val="2"/>
      <w:lang w:val="en-US"/>
    </w:rPr>
  </w:style>
  <w:style w:type="paragraph" w:styleId="Style21" w:customStyle="1">
    <w:name w:val="Заголовок таблицы"/>
    <w:basedOn w:val="Style20"/>
    <w:uiPriority w:val="99"/>
    <w:qFormat w:val="1"/>
    <w:rsid w:val="000D0FFA"/>
    <w:pPr>
      <w:jc w:val="center"/>
    </w:pPr>
    <w:rPr>
      <w:b w:val="1"/>
      <w:bCs w:val="1"/>
    </w:rPr>
  </w:style>
  <w:style w:type="paragraph" w:styleId="Style22">
    <w:name w:val="Footer"/>
    <w:basedOn w:val="LOnormal1"/>
    <w:link w:val="FooterChar"/>
    <w:uiPriority w:val="99"/>
    <w:rsid w:val="000D0FFA"/>
    <w:pPr>
      <w:suppressLineNumbers w:val="1"/>
      <w:tabs>
        <w:tab w:val="clear" w:pos="720"/>
        <w:tab w:val="center" w:leader="none" w:pos="4819"/>
        <w:tab w:val="right" w:leader="none" w:pos="9638"/>
      </w:tabs>
      <w:suppressAutoHyphens w:val="0"/>
      <w:overflowPunct w:val="0"/>
      <w:spacing w:line="1" w:lineRule="atLeast"/>
      <w:textAlignment w:val="top"/>
      <w:outlineLvl w:val="0"/>
    </w:pPr>
    <w:rPr>
      <w:rFonts w:cs="Mangal" w:eastAsia="SimSun"/>
      <w:kern w:val="2"/>
      <w:lang w:val="en-US"/>
    </w:rPr>
  </w:style>
  <w:style w:type="paragraph" w:styleId="Style23" w:customStyle="1">
    <w:name w:val="Вміст таблиці"/>
    <w:basedOn w:val="LOnormal1"/>
    <w:uiPriority w:val="99"/>
    <w:qFormat w:val="1"/>
    <w:rsid w:val="000D0FFA"/>
    <w:pPr>
      <w:widowControl w:val="0"/>
      <w:suppressLineNumbers w:val="1"/>
      <w:suppressAutoHyphens w:val="0"/>
      <w:overflowPunct w:val="0"/>
      <w:spacing w:line="1" w:lineRule="atLeast"/>
      <w:textAlignment w:val="top"/>
      <w:outlineLvl w:val="0"/>
    </w:pPr>
    <w:rPr>
      <w:rFonts w:cs="Mangal" w:eastAsia="SimSun"/>
      <w:kern w:val="2"/>
      <w:lang w:val="en-US"/>
    </w:rPr>
  </w:style>
  <w:style w:type="paragraph" w:styleId="Style24" w:customStyle="1">
    <w:name w:val="Заголовок таблиці"/>
    <w:basedOn w:val="Style23"/>
    <w:uiPriority w:val="99"/>
    <w:qFormat w:val="1"/>
    <w:rsid w:val="000D0FFA"/>
    <w:pPr>
      <w:jc w:val="center"/>
    </w:pPr>
    <w:rPr>
      <w:b w:val="1"/>
      <w:bCs w:val="1"/>
    </w:rPr>
  </w:style>
  <w:style w:type="paragraph" w:styleId="LOnormal" w:customStyle="1">
    <w:name w:val="LO-normal"/>
    <w:uiPriority w:val="99"/>
    <w:qFormat w:val="1"/>
    <w:rsid w:val="000D0FFA"/>
    <w:pPr>
      <w:widowControl w:val="1"/>
      <w:suppressAutoHyphens w:val="1"/>
      <w:bidi w:val="0"/>
      <w:spacing w:after="0" w:before="0"/>
      <w:jc w:val="left"/>
    </w:pPr>
    <w:rPr>
      <w:rFonts w:ascii="Liberation Serif;Times New Roma" w:cs="Lucida Sans" w:eastAsia="NSimSun" w:hAnsi="Liberation Serif;Times New Roma"/>
      <w:color w:val="auto"/>
      <w:kern w:val="0"/>
      <w:sz w:val="24"/>
      <w:szCs w:val="24"/>
      <w:lang w:bidi="hi-IN" w:eastAsia="zh-CN" w:val="uk-UA"/>
    </w:rPr>
  </w:style>
  <w:style w:type="numbering" w:styleId="NoList" w:default="1">
    <w:name w:val="No List"/>
    <w:uiPriority w:val="99"/>
    <w:semiHidden w:val="1"/>
    <w:unhideWhenUsed w:val="1"/>
    <w:qFormat w:val="1"/>
  </w:style>
  <w:style w:type="table" w:styleId="TableNormal" w:default="1">
    <w:name w:val="Normal Table"/>
    <w:uiPriority w:val="99"/>
    <w:semiHidden w:val="1"/>
    <w:unhideWhenUsed w:val="1"/>
    <w:qFormat w:val="1"/>
    <w:tblPr>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F+c6vMaiex/WCzLLHaWubA+ihQ==">CgMxLjAaHwoBMBIaChgICVIUChJ0YWJsZS5ramw5MDZ4dnF5Mmk4AHIhMUxSa3lrSV9GZUtPNEhVT2xodTF3akpmTDM5MmtSS05X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2024-04-16T07:45:00Z</dcterms:created>
</cp:coreProperties>
</file>

<file path=docProps/custom.xml><?xml version="1.0" encoding="utf-8"?>
<Properties xmlns="http://schemas.openxmlformats.org/officeDocument/2006/custom-properties" xmlns:vt="http://schemas.openxmlformats.org/officeDocument/2006/docPropsVTypes"/>
</file>